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4F556" w14:textId="77777777" w:rsidR="00F5049F" w:rsidRPr="00F77FFD" w:rsidRDefault="00F5049F" w:rsidP="00F5049F">
      <w:pPr>
        <w:spacing w:after="0"/>
        <w:jc w:val="center"/>
        <w:rPr>
          <w:rFonts w:ascii="Times New Roman" w:hAnsi="Times New Roman"/>
          <w:b/>
          <w:sz w:val="24"/>
          <w:szCs w:val="24"/>
          <w:u w:val="single"/>
        </w:rPr>
      </w:pPr>
      <w:r w:rsidRPr="00F77FFD">
        <w:rPr>
          <w:rFonts w:ascii="Times New Roman" w:hAnsi="Times New Roman"/>
          <w:b/>
          <w:sz w:val="24"/>
          <w:szCs w:val="24"/>
          <w:u w:val="single"/>
        </w:rPr>
        <w:t>Detailed Explanation</w:t>
      </w:r>
    </w:p>
    <w:p w14:paraId="0D54BA30" w14:textId="77777777" w:rsidR="00F5049F" w:rsidRPr="00F77FFD" w:rsidRDefault="00F5049F" w:rsidP="00F5049F">
      <w:pPr>
        <w:spacing w:after="0"/>
        <w:jc w:val="center"/>
        <w:rPr>
          <w:rFonts w:ascii="Times New Roman" w:hAnsi="Times New Roman"/>
          <w:b/>
          <w:sz w:val="24"/>
          <w:szCs w:val="24"/>
        </w:rPr>
      </w:pPr>
    </w:p>
    <w:p w14:paraId="06778408" w14:textId="79E56B2A" w:rsidR="00F5049F" w:rsidRPr="00F77FFD" w:rsidRDefault="00F5049F" w:rsidP="00F5049F">
      <w:pPr>
        <w:spacing w:after="0"/>
        <w:jc w:val="center"/>
        <w:rPr>
          <w:rFonts w:ascii="Times New Roman" w:hAnsi="Times New Roman"/>
          <w:b/>
          <w:sz w:val="24"/>
          <w:szCs w:val="24"/>
        </w:rPr>
      </w:pPr>
      <w:r w:rsidRPr="00F77FFD">
        <w:rPr>
          <w:rFonts w:ascii="Times New Roman" w:hAnsi="Times New Roman"/>
          <w:b/>
          <w:sz w:val="24"/>
          <w:szCs w:val="24"/>
        </w:rPr>
        <w:t>accompanying draft COMMISSION REGULATION (EU) No …/.</w:t>
      </w:r>
      <w:r w:rsidR="00902E92">
        <w:rPr>
          <w:rFonts w:ascii="Times New Roman" w:hAnsi="Times New Roman"/>
          <w:b/>
          <w:sz w:val="24"/>
          <w:szCs w:val="24"/>
        </w:rPr>
        <w:t>.</w:t>
      </w:r>
      <w:r w:rsidRPr="00F77FFD">
        <w:rPr>
          <w:rFonts w:ascii="Times New Roman" w:hAnsi="Times New Roman"/>
          <w:b/>
          <w:sz w:val="24"/>
          <w:szCs w:val="24"/>
        </w:rPr>
        <w:t>. of XXX</w:t>
      </w:r>
    </w:p>
    <w:p w14:paraId="3210CA0C" w14:textId="2D4BFEE2" w:rsidR="00F5049F" w:rsidRPr="00F77FFD" w:rsidRDefault="00F5049F" w:rsidP="00F5049F">
      <w:pPr>
        <w:spacing w:after="360"/>
        <w:jc w:val="center"/>
        <w:rPr>
          <w:b/>
        </w:rPr>
      </w:pPr>
      <w:r w:rsidRPr="00F77FFD">
        <w:rPr>
          <w:rFonts w:ascii="Times New Roman" w:hAnsi="Times New Roman"/>
          <w:b/>
          <w:sz w:val="24"/>
          <w:szCs w:val="24"/>
        </w:rPr>
        <w:t xml:space="preserve">amending Annex XVII to Regulation (EC) No 1907/2006 of the European Parliament and of the Council as regards </w:t>
      </w:r>
      <w:r w:rsidR="00DD7B7B">
        <w:rPr>
          <w:rFonts w:ascii="Times New Roman" w:hAnsi="Times New Roman"/>
          <w:b/>
          <w:sz w:val="24"/>
          <w:szCs w:val="24"/>
        </w:rPr>
        <w:t>lead in ammunition and fishing tackle</w:t>
      </w:r>
    </w:p>
    <w:p w14:paraId="49240F77" w14:textId="77777777" w:rsidR="00F5049F" w:rsidRPr="00F77FFD" w:rsidRDefault="00F5049F" w:rsidP="00F5049F">
      <w:pPr>
        <w:jc w:val="both"/>
        <w:rPr>
          <w:rFonts w:ascii="Times New Roman" w:hAnsi="Times New Roman"/>
          <w:sz w:val="24"/>
          <w:szCs w:val="24"/>
          <w:lang w:eastAsia="en-GB"/>
        </w:rPr>
      </w:pPr>
      <w:r w:rsidRPr="00F77FFD">
        <w:rPr>
          <w:rFonts w:ascii="Times New Roman" w:hAnsi="Times New Roman"/>
          <w:sz w:val="24"/>
          <w:szCs w:val="24"/>
          <w:lang w:eastAsia="en-GB"/>
        </w:rPr>
        <w:t>Article 73(1) second subparagraph of the REACH Regulation requires the Commission to give a detailed explanation of the reasons why the draft amendment to Annex XVII diverges from the original proposal (‘Annex XV dossier’) of the dossier submitter or does not take the opinions from the European Chemicals Agency’s (‘the Agency’) scientific committees into account.</w:t>
      </w:r>
    </w:p>
    <w:p w14:paraId="077231A9" w14:textId="77777777" w:rsidR="00F5049F" w:rsidRPr="00F77FFD" w:rsidRDefault="00F5049F" w:rsidP="00F5049F">
      <w:pPr>
        <w:pStyle w:val="Loendilik"/>
        <w:numPr>
          <w:ilvl w:val="0"/>
          <w:numId w:val="3"/>
        </w:numPr>
        <w:autoSpaceDE w:val="0"/>
        <w:autoSpaceDN w:val="0"/>
        <w:adjustRightInd w:val="0"/>
        <w:spacing w:before="240" w:after="120" w:line="240" w:lineRule="auto"/>
        <w:ind w:left="714" w:hanging="357"/>
        <w:jc w:val="both"/>
        <w:rPr>
          <w:rFonts w:ascii="Times New Roman" w:hAnsi="Times New Roman"/>
          <w:b/>
          <w:i/>
          <w:sz w:val="24"/>
          <w:szCs w:val="24"/>
          <w:lang w:eastAsia="en-GB"/>
        </w:rPr>
      </w:pPr>
      <w:r w:rsidRPr="00F77FFD">
        <w:rPr>
          <w:rFonts w:ascii="Times New Roman" w:hAnsi="Times New Roman"/>
          <w:b/>
          <w:i/>
          <w:sz w:val="24"/>
          <w:szCs w:val="24"/>
          <w:lang w:eastAsia="en-GB"/>
        </w:rPr>
        <w:t xml:space="preserve">Divergences from the original Annex XV dossier proposal </w:t>
      </w:r>
    </w:p>
    <w:p w14:paraId="42E7C350" w14:textId="77777777" w:rsidR="00F5049F" w:rsidRPr="003A17E4" w:rsidRDefault="00F5049F" w:rsidP="00F5049F">
      <w:pPr>
        <w:jc w:val="both"/>
        <w:rPr>
          <w:rFonts w:ascii="Times New Roman" w:hAnsi="Times New Roman"/>
          <w:sz w:val="24"/>
          <w:szCs w:val="24"/>
          <w:lang w:eastAsia="en-GB"/>
        </w:rPr>
      </w:pPr>
      <w:r w:rsidRPr="00F77FFD">
        <w:rPr>
          <w:rFonts w:ascii="Times New Roman" w:hAnsi="Times New Roman"/>
          <w:sz w:val="24"/>
          <w:szCs w:val="24"/>
          <w:lang w:eastAsia="en-GB"/>
        </w:rPr>
        <w:t xml:space="preserve">During the opinion-making process on the Annex XV dossier, the Agency’s scientific Committees – the Committee for Risk Assessment (‘RAC’) and the Committee for Socio-economic Analysis (‘SEAC’) – and the Forum for the Exchange of Information on </w:t>
      </w:r>
      <w:r w:rsidRPr="003A17E4">
        <w:rPr>
          <w:rFonts w:ascii="Times New Roman" w:hAnsi="Times New Roman"/>
          <w:sz w:val="24"/>
          <w:szCs w:val="24"/>
          <w:lang w:eastAsia="en-GB"/>
        </w:rPr>
        <w:t xml:space="preserve">Enforcement (‘the Forum’) recommended several changes to the restriction wording proposed in the Annex XV dossier. The Commission decided to include the following recommended changes in the draft amendment to Annex XVII: </w:t>
      </w:r>
    </w:p>
    <w:p w14:paraId="28079651" w14:textId="42999B49" w:rsidR="00B0413C" w:rsidRDefault="00B0413C" w:rsidP="00B0413C">
      <w:pPr>
        <w:pStyle w:val="Loendilik"/>
        <w:numPr>
          <w:ilvl w:val="0"/>
          <w:numId w:val="2"/>
        </w:numPr>
        <w:spacing w:after="120"/>
        <w:jc w:val="both"/>
        <w:rPr>
          <w:rFonts w:ascii="Times New Roman" w:hAnsi="Times New Roman"/>
          <w:sz w:val="24"/>
          <w:szCs w:val="24"/>
        </w:rPr>
      </w:pPr>
      <w:r>
        <w:rPr>
          <w:rFonts w:ascii="Times New Roman" w:hAnsi="Times New Roman"/>
          <w:sz w:val="24"/>
          <w:szCs w:val="24"/>
        </w:rPr>
        <w:t xml:space="preserve">The </w:t>
      </w:r>
      <w:r w:rsidRPr="00864755">
        <w:rPr>
          <w:rFonts w:ascii="Times New Roman" w:hAnsi="Times New Roman"/>
          <w:sz w:val="24"/>
          <w:szCs w:val="24"/>
        </w:rPr>
        <w:t>transition</w:t>
      </w:r>
      <w:r>
        <w:rPr>
          <w:rFonts w:ascii="Times New Roman" w:hAnsi="Times New Roman"/>
          <w:sz w:val="24"/>
          <w:szCs w:val="24"/>
        </w:rPr>
        <w:t>al</w:t>
      </w:r>
      <w:r w:rsidRPr="00864755">
        <w:rPr>
          <w:rFonts w:ascii="Times New Roman" w:hAnsi="Times New Roman"/>
          <w:sz w:val="24"/>
          <w:szCs w:val="24"/>
        </w:rPr>
        <w:t xml:space="preserve"> period for the ban o</w:t>
      </w:r>
      <w:r>
        <w:rPr>
          <w:rFonts w:ascii="Times New Roman" w:hAnsi="Times New Roman"/>
          <w:sz w:val="24"/>
          <w:szCs w:val="24"/>
        </w:rPr>
        <w:t>n</w:t>
      </w:r>
      <w:r w:rsidRPr="00864755">
        <w:rPr>
          <w:rFonts w:ascii="Times New Roman" w:hAnsi="Times New Roman"/>
          <w:sz w:val="24"/>
          <w:szCs w:val="24"/>
        </w:rPr>
        <w:t xml:space="preserve"> the use of </w:t>
      </w:r>
      <w:r>
        <w:rPr>
          <w:rFonts w:ascii="Times New Roman" w:hAnsi="Times New Roman"/>
          <w:sz w:val="24"/>
          <w:szCs w:val="24"/>
        </w:rPr>
        <w:t xml:space="preserve">lead </w:t>
      </w:r>
      <w:r w:rsidRPr="00864755">
        <w:rPr>
          <w:rFonts w:ascii="Times New Roman" w:hAnsi="Times New Roman"/>
          <w:sz w:val="24"/>
          <w:szCs w:val="24"/>
        </w:rPr>
        <w:t xml:space="preserve">gunshot in hunting </w:t>
      </w:r>
      <w:r>
        <w:rPr>
          <w:rFonts w:ascii="Times New Roman" w:hAnsi="Times New Roman"/>
          <w:sz w:val="24"/>
          <w:szCs w:val="24"/>
        </w:rPr>
        <w:t>i</w:t>
      </w:r>
      <w:r w:rsidRPr="00864755">
        <w:rPr>
          <w:rFonts w:ascii="Times New Roman" w:hAnsi="Times New Roman"/>
          <w:sz w:val="24"/>
          <w:szCs w:val="24"/>
        </w:rPr>
        <w:t xml:space="preserve">s </w:t>
      </w:r>
      <w:r>
        <w:rPr>
          <w:rFonts w:ascii="Times New Roman" w:hAnsi="Times New Roman"/>
          <w:sz w:val="24"/>
          <w:szCs w:val="24"/>
        </w:rPr>
        <w:t>reduced</w:t>
      </w:r>
      <w:r w:rsidR="008E4021">
        <w:rPr>
          <w:rFonts w:ascii="Times New Roman" w:hAnsi="Times New Roman"/>
          <w:sz w:val="24"/>
          <w:szCs w:val="24"/>
        </w:rPr>
        <w:t xml:space="preserve"> from 5 years</w:t>
      </w:r>
      <w:r>
        <w:rPr>
          <w:rFonts w:ascii="Times New Roman" w:hAnsi="Times New Roman"/>
          <w:sz w:val="24"/>
          <w:szCs w:val="24"/>
        </w:rPr>
        <w:t xml:space="preserve"> to 36 months</w:t>
      </w:r>
      <w:r w:rsidR="00D16453">
        <w:rPr>
          <w:rFonts w:ascii="Times New Roman" w:hAnsi="Times New Roman"/>
          <w:sz w:val="24"/>
          <w:szCs w:val="24"/>
        </w:rPr>
        <w:t xml:space="preserve">; a shorter transitional period is justified considering </w:t>
      </w:r>
      <w:r w:rsidRPr="00864755">
        <w:rPr>
          <w:rFonts w:ascii="Times New Roman" w:hAnsi="Times New Roman"/>
          <w:sz w:val="24"/>
          <w:szCs w:val="24"/>
        </w:rPr>
        <w:t>that the use of lead gunshot in wetlands is already re</w:t>
      </w:r>
      <w:r w:rsidR="00D16453">
        <w:rPr>
          <w:rFonts w:ascii="Times New Roman" w:hAnsi="Times New Roman"/>
          <w:sz w:val="24"/>
          <w:szCs w:val="24"/>
        </w:rPr>
        <w:t>stricted</w:t>
      </w:r>
      <w:r w:rsidRPr="00864755">
        <w:rPr>
          <w:rFonts w:ascii="Times New Roman" w:hAnsi="Times New Roman"/>
          <w:sz w:val="24"/>
          <w:szCs w:val="24"/>
        </w:rPr>
        <w:t xml:space="preserve"> in the whole EU</w:t>
      </w:r>
      <w:r w:rsidR="008E4021">
        <w:rPr>
          <w:rFonts w:ascii="Times New Roman" w:hAnsi="Times New Roman"/>
          <w:sz w:val="24"/>
          <w:szCs w:val="24"/>
        </w:rPr>
        <w:t>;</w:t>
      </w:r>
    </w:p>
    <w:p w14:paraId="2DCB2866" w14:textId="6369CEF5" w:rsidR="00646D5A" w:rsidRDefault="00646D5A" w:rsidP="00646D5A">
      <w:pPr>
        <w:pStyle w:val="Loendilik"/>
        <w:numPr>
          <w:ilvl w:val="0"/>
          <w:numId w:val="2"/>
        </w:numPr>
        <w:spacing w:after="120"/>
        <w:jc w:val="both"/>
        <w:rPr>
          <w:rFonts w:ascii="Times New Roman" w:hAnsi="Times New Roman"/>
          <w:sz w:val="24"/>
          <w:szCs w:val="24"/>
        </w:rPr>
      </w:pPr>
      <w:r>
        <w:rPr>
          <w:rFonts w:ascii="Times New Roman" w:hAnsi="Times New Roman"/>
          <w:sz w:val="24"/>
          <w:szCs w:val="24"/>
        </w:rPr>
        <w:t>T</w:t>
      </w:r>
      <w:r w:rsidRPr="00571039">
        <w:rPr>
          <w:rFonts w:ascii="Times New Roman" w:hAnsi="Times New Roman"/>
          <w:sz w:val="24"/>
          <w:szCs w:val="24"/>
        </w:rPr>
        <w:t xml:space="preserve">he derogation </w:t>
      </w:r>
      <w:r>
        <w:rPr>
          <w:rFonts w:ascii="Times New Roman" w:hAnsi="Times New Roman"/>
          <w:sz w:val="24"/>
          <w:szCs w:val="24"/>
        </w:rPr>
        <w:t>allowing the use and placing on the market for lead gunshot for sports shooting is</w:t>
      </w:r>
      <w:r w:rsidRPr="00571039">
        <w:rPr>
          <w:rFonts w:ascii="Times New Roman" w:hAnsi="Times New Roman"/>
          <w:sz w:val="24"/>
          <w:szCs w:val="24"/>
        </w:rPr>
        <w:t xml:space="preserve"> limited to shot sizes used in sports shooting</w:t>
      </w:r>
      <w:r>
        <w:rPr>
          <w:rFonts w:ascii="Times New Roman" w:hAnsi="Times New Roman"/>
          <w:sz w:val="24"/>
          <w:szCs w:val="24"/>
        </w:rPr>
        <w:t xml:space="preserve">, i.e. </w:t>
      </w:r>
      <w:r w:rsidR="00A45B4E">
        <w:rPr>
          <w:rFonts w:ascii="Times New Roman" w:hAnsi="Times New Roman"/>
          <w:sz w:val="24"/>
          <w:szCs w:val="24"/>
        </w:rPr>
        <w:t xml:space="preserve">sizes </w:t>
      </w:r>
      <w:r w:rsidRPr="00571039">
        <w:rPr>
          <w:rFonts w:ascii="Times New Roman" w:hAnsi="Times New Roman"/>
          <w:sz w:val="24"/>
          <w:szCs w:val="24"/>
        </w:rPr>
        <w:t>between 1.9 and 2.6 mm</w:t>
      </w:r>
      <w:r>
        <w:rPr>
          <w:rFonts w:ascii="Times New Roman" w:hAnsi="Times New Roman"/>
          <w:sz w:val="24"/>
          <w:szCs w:val="24"/>
        </w:rPr>
        <w:t>;</w:t>
      </w:r>
      <w:r w:rsidRPr="00571039">
        <w:rPr>
          <w:rFonts w:ascii="Times New Roman" w:hAnsi="Times New Roman"/>
          <w:sz w:val="24"/>
          <w:szCs w:val="24"/>
        </w:rPr>
        <w:t xml:space="preserve"> </w:t>
      </w:r>
    </w:p>
    <w:p w14:paraId="757523C8" w14:textId="3D79A4BB" w:rsidR="00B0413C" w:rsidRDefault="00B0413C" w:rsidP="00B0413C">
      <w:pPr>
        <w:pStyle w:val="Loendilik"/>
        <w:numPr>
          <w:ilvl w:val="0"/>
          <w:numId w:val="2"/>
        </w:numPr>
        <w:spacing w:after="120"/>
        <w:jc w:val="both"/>
        <w:rPr>
          <w:rFonts w:ascii="Times New Roman" w:hAnsi="Times New Roman"/>
          <w:sz w:val="24"/>
          <w:szCs w:val="24"/>
        </w:rPr>
      </w:pPr>
      <w:r>
        <w:rPr>
          <w:rFonts w:ascii="Times New Roman" w:hAnsi="Times New Roman"/>
          <w:sz w:val="24"/>
          <w:szCs w:val="24"/>
        </w:rPr>
        <w:t xml:space="preserve">A </w:t>
      </w:r>
      <w:r w:rsidRPr="00571039">
        <w:rPr>
          <w:rFonts w:ascii="Times New Roman" w:hAnsi="Times New Roman"/>
          <w:sz w:val="24"/>
          <w:szCs w:val="24"/>
        </w:rPr>
        <w:t xml:space="preserve">derogation </w:t>
      </w:r>
      <w:r>
        <w:rPr>
          <w:rFonts w:ascii="Times New Roman" w:hAnsi="Times New Roman"/>
          <w:sz w:val="24"/>
          <w:szCs w:val="24"/>
        </w:rPr>
        <w:t>is added</w:t>
      </w:r>
      <w:r w:rsidRPr="00571039">
        <w:rPr>
          <w:rFonts w:ascii="Times New Roman" w:hAnsi="Times New Roman"/>
          <w:sz w:val="24"/>
          <w:szCs w:val="24"/>
        </w:rPr>
        <w:t xml:space="preserve"> allowing the use in bullets of copper or copper alloys containing </w:t>
      </w:r>
      <w:r>
        <w:rPr>
          <w:rFonts w:ascii="Times New Roman" w:hAnsi="Times New Roman"/>
          <w:sz w:val="24"/>
          <w:szCs w:val="24"/>
        </w:rPr>
        <w:t xml:space="preserve">a concentration of </w:t>
      </w:r>
      <w:r w:rsidRPr="00571039">
        <w:rPr>
          <w:rFonts w:ascii="Times New Roman" w:hAnsi="Times New Roman"/>
          <w:sz w:val="24"/>
          <w:szCs w:val="24"/>
        </w:rPr>
        <w:t xml:space="preserve">lead </w:t>
      </w:r>
      <w:r w:rsidR="006A410A">
        <w:rPr>
          <w:rFonts w:ascii="Times New Roman" w:hAnsi="Times New Roman"/>
          <w:sz w:val="24"/>
          <w:szCs w:val="24"/>
        </w:rPr>
        <w:t>less</w:t>
      </w:r>
      <w:r w:rsidR="00D16453">
        <w:rPr>
          <w:rFonts w:ascii="Times New Roman" w:hAnsi="Times New Roman"/>
          <w:sz w:val="24"/>
          <w:szCs w:val="24"/>
        </w:rPr>
        <w:t xml:space="preserve"> than </w:t>
      </w:r>
      <w:r w:rsidRPr="00571039">
        <w:rPr>
          <w:rFonts w:ascii="Times New Roman" w:hAnsi="Times New Roman"/>
          <w:sz w:val="24"/>
          <w:szCs w:val="24"/>
        </w:rPr>
        <w:t>3 %</w:t>
      </w:r>
      <w:r>
        <w:rPr>
          <w:rFonts w:ascii="Times New Roman" w:hAnsi="Times New Roman"/>
          <w:sz w:val="24"/>
          <w:szCs w:val="24"/>
        </w:rPr>
        <w:t xml:space="preserve"> by weight</w:t>
      </w:r>
      <w:r w:rsidR="008E4021">
        <w:rPr>
          <w:rFonts w:ascii="Times New Roman" w:hAnsi="Times New Roman"/>
          <w:sz w:val="24"/>
          <w:szCs w:val="24"/>
        </w:rPr>
        <w:t>;</w:t>
      </w:r>
      <w:r w:rsidRPr="00571039">
        <w:rPr>
          <w:rFonts w:ascii="Times New Roman" w:hAnsi="Times New Roman"/>
          <w:sz w:val="24"/>
          <w:szCs w:val="24"/>
        </w:rPr>
        <w:t xml:space="preserve"> </w:t>
      </w:r>
    </w:p>
    <w:p w14:paraId="156576B4" w14:textId="77777777" w:rsidR="00646D5A" w:rsidRPr="008E4021" w:rsidRDefault="00646D5A" w:rsidP="00646D5A">
      <w:pPr>
        <w:pStyle w:val="Loendilik"/>
        <w:numPr>
          <w:ilvl w:val="0"/>
          <w:numId w:val="2"/>
        </w:numPr>
        <w:spacing w:after="120"/>
        <w:jc w:val="both"/>
        <w:rPr>
          <w:rFonts w:ascii="Times New Roman" w:hAnsi="Times New Roman"/>
          <w:sz w:val="24"/>
          <w:szCs w:val="24"/>
        </w:rPr>
      </w:pPr>
      <w:r>
        <w:rPr>
          <w:rFonts w:ascii="Times New Roman" w:hAnsi="Times New Roman"/>
          <w:sz w:val="24"/>
          <w:szCs w:val="24"/>
        </w:rPr>
        <w:t xml:space="preserve">It is made clear that the </w:t>
      </w:r>
      <w:r w:rsidRPr="008E4021">
        <w:rPr>
          <w:rFonts w:ascii="Times New Roman" w:hAnsi="Times New Roman"/>
          <w:sz w:val="24"/>
          <w:szCs w:val="24"/>
        </w:rPr>
        <w:t xml:space="preserve">derogation </w:t>
      </w:r>
      <w:r>
        <w:rPr>
          <w:rFonts w:ascii="Times New Roman" w:hAnsi="Times New Roman"/>
          <w:sz w:val="24"/>
          <w:szCs w:val="24"/>
        </w:rPr>
        <w:t xml:space="preserve">for </w:t>
      </w:r>
      <w:r w:rsidRPr="008E4021">
        <w:rPr>
          <w:rFonts w:ascii="Times New Roman" w:hAnsi="Times New Roman"/>
          <w:sz w:val="24"/>
          <w:szCs w:val="24"/>
        </w:rPr>
        <w:t xml:space="preserve">full metal jacket bullets </w:t>
      </w:r>
      <w:r>
        <w:rPr>
          <w:rFonts w:ascii="Times New Roman" w:hAnsi="Times New Roman"/>
          <w:sz w:val="24"/>
          <w:szCs w:val="24"/>
        </w:rPr>
        <w:t xml:space="preserve">also covers </w:t>
      </w:r>
      <w:r w:rsidRPr="008E4021">
        <w:rPr>
          <w:rFonts w:ascii="Times New Roman" w:hAnsi="Times New Roman"/>
          <w:sz w:val="24"/>
          <w:szCs w:val="24"/>
        </w:rPr>
        <w:t>non-expanding open tip match bullets</w:t>
      </w:r>
      <w:r>
        <w:rPr>
          <w:rFonts w:ascii="Times New Roman" w:hAnsi="Times New Roman"/>
          <w:sz w:val="24"/>
          <w:szCs w:val="24"/>
        </w:rPr>
        <w:t>;</w:t>
      </w:r>
    </w:p>
    <w:p w14:paraId="5095A1FD" w14:textId="2C2CA468" w:rsidR="00571039" w:rsidRPr="00571039" w:rsidRDefault="004A514A" w:rsidP="00571039">
      <w:pPr>
        <w:pStyle w:val="Loendilik"/>
        <w:numPr>
          <w:ilvl w:val="0"/>
          <w:numId w:val="2"/>
        </w:numPr>
        <w:spacing w:after="120"/>
        <w:jc w:val="both"/>
        <w:rPr>
          <w:rFonts w:ascii="Times New Roman" w:hAnsi="Times New Roman"/>
          <w:sz w:val="24"/>
          <w:szCs w:val="24"/>
        </w:rPr>
      </w:pPr>
      <w:r w:rsidRPr="00571039">
        <w:rPr>
          <w:rFonts w:ascii="Times New Roman" w:hAnsi="Times New Roman"/>
          <w:sz w:val="24"/>
          <w:szCs w:val="24"/>
        </w:rPr>
        <w:t xml:space="preserve">Labelling and information requirements </w:t>
      </w:r>
      <w:r w:rsidR="00571039" w:rsidRPr="00571039">
        <w:rPr>
          <w:rFonts w:ascii="Times New Roman" w:hAnsi="Times New Roman"/>
          <w:sz w:val="24"/>
          <w:szCs w:val="24"/>
        </w:rPr>
        <w:t>for</w:t>
      </w:r>
      <w:r w:rsidRPr="00571039">
        <w:rPr>
          <w:rFonts w:ascii="Times New Roman" w:hAnsi="Times New Roman"/>
          <w:sz w:val="24"/>
          <w:szCs w:val="24"/>
        </w:rPr>
        <w:t xml:space="preserve"> lead ammunition and fishing tackle </w:t>
      </w:r>
      <w:r w:rsidR="00571039" w:rsidRPr="00571039">
        <w:rPr>
          <w:rFonts w:ascii="Times New Roman" w:hAnsi="Times New Roman"/>
          <w:sz w:val="24"/>
          <w:szCs w:val="24"/>
        </w:rPr>
        <w:t xml:space="preserve">are triggered by a </w:t>
      </w:r>
      <w:r w:rsidRPr="00571039">
        <w:rPr>
          <w:rFonts w:ascii="Times New Roman" w:hAnsi="Times New Roman"/>
          <w:sz w:val="24"/>
          <w:szCs w:val="24"/>
        </w:rPr>
        <w:t>lead concentration ≥ 1 % w/w</w:t>
      </w:r>
      <w:r w:rsidR="00571039">
        <w:rPr>
          <w:rFonts w:ascii="Times New Roman" w:hAnsi="Times New Roman"/>
          <w:sz w:val="24"/>
          <w:szCs w:val="24"/>
        </w:rPr>
        <w:t xml:space="preserve"> (</w:t>
      </w:r>
      <w:r w:rsidR="00B0413C" w:rsidRPr="00571039">
        <w:rPr>
          <w:rFonts w:ascii="Times New Roman" w:hAnsi="Times New Roman"/>
          <w:sz w:val="24"/>
          <w:szCs w:val="24"/>
        </w:rPr>
        <w:t>≥</w:t>
      </w:r>
      <w:r w:rsidR="00864755" w:rsidRPr="00571039">
        <w:rPr>
          <w:rFonts w:ascii="Times New Roman" w:hAnsi="Times New Roman"/>
          <w:sz w:val="24"/>
          <w:szCs w:val="24"/>
        </w:rPr>
        <w:t xml:space="preserve"> 3 % w/w</w:t>
      </w:r>
      <w:r w:rsidR="00864755">
        <w:rPr>
          <w:rFonts w:ascii="Times New Roman" w:hAnsi="Times New Roman"/>
          <w:sz w:val="24"/>
          <w:szCs w:val="24"/>
        </w:rPr>
        <w:t>, for bullets</w:t>
      </w:r>
      <w:r w:rsidR="006A410A" w:rsidRPr="006A410A">
        <w:rPr>
          <w:rFonts w:ascii="Times New Roman" w:hAnsi="Times New Roman"/>
          <w:sz w:val="24"/>
          <w:szCs w:val="24"/>
        </w:rPr>
        <w:t xml:space="preserve"> </w:t>
      </w:r>
      <w:r w:rsidR="006A410A">
        <w:rPr>
          <w:rFonts w:ascii="Times New Roman" w:hAnsi="Times New Roman"/>
          <w:sz w:val="24"/>
          <w:szCs w:val="24"/>
        </w:rPr>
        <w:t xml:space="preserve">containing </w:t>
      </w:r>
      <w:r w:rsidR="006A410A" w:rsidRPr="00571039">
        <w:rPr>
          <w:rFonts w:ascii="Times New Roman" w:hAnsi="Times New Roman"/>
          <w:sz w:val="24"/>
          <w:szCs w:val="24"/>
        </w:rPr>
        <w:t>copper or copper alloys</w:t>
      </w:r>
      <w:r w:rsidR="00864755">
        <w:rPr>
          <w:rFonts w:ascii="Times New Roman" w:hAnsi="Times New Roman"/>
          <w:sz w:val="24"/>
          <w:szCs w:val="24"/>
        </w:rPr>
        <w:t>)</w:t>
      </w:r>
      <w:r w:rsidRPr="00571039">
        <w:rPr>
          <w:rFonts w:ascii="Times New Roman" w:hAnsi="Times New Roman"/>
          <w:sz w:val="24"/>
          <w:szCs w:val="24"/>
        </w:rPr>
        <w:t xml:space="preserve">, in line with the </w:t>
      </w:r>
      <w:r w:rsidR="00864755">
        <w:rPr>
          <w:rFonts w:ascii="Times New Roman" w:hAnsi="Times New Roman"/>
          <w:sz w:val="24"/>
          <w:szCs w:val="24"/>
        </w:rPr>
        <w:t>lead concentration</w:t>
      </w:r>
      <w:r w:rsidRPr="00571039">
        <w:rPr>
          <w:rFonts w:ascii="Times New Roman" w:hAnsi="Times New Roman"/>
          <w:sz w:val="24"/>
          <w:szCs w:val="24"/>
        </w:rPr>
        <w:t xml:space="preserve"> that triggers </w:t>
      </w:r>
      <w:r w:rsidR="00864755">
        <w:rPr>
          <w:rFonts w:ascii="Times New Roman" w:hAnsi="Times New Roman"/>
          <w:sz w:val="24"/>
          <w:szCs w:val="24"/>
        </w:rPr>
        <w:t xml:space="preserve">the prohibition of use and/or placing on the market </w:t>
      </w:r>
      <w:r w:rsidR="00864755" w:rsidRPr="00571039">
        <w:rPr>
          <w:rFonts w:ascii="Times New Roman" w:hAnsi="Times New Roman"/>
          <w:sz w:val="24"/>
          <w:szCs w:val="24"/>
        </w:rPr>
        <w:t xml:space="preserve">for </w:t>
      </w:r>
      <w:r w:rsidR="006A410A">
        <w:rPr>
          <w:rFonts w:ascii="Times New Roman" w:hAnsi="Times New Roman"/>
          <w:sz w:val="24"/>
          <w:szCs w:val="24"/>
        </w:rPr>
        <w:t>those articles</w:t>
      </w:r>
      <w:r w:rsidRPr="00571039">
        <w:rPr>
          <w:rFonts w:ascii="Times New Roman" w:hAnsi="Times New Roman"/>
          <w:sz w:val="24"/>
          <w:szCs w:val="24"/>
        </w:rPr>
        <w:t>, thereby reducing the risk of confusion while not making a significant difference from a risk perspective</w:t>
      </w:r>
      <w:r w:rsidR="008E4021">
        <w:rPr>
          <w:rFonts w:ascii="Times New Roman" w:hAnsi="Times New Roman"/>
          <w:sz w:val="24"/>
          <w:szCs w:val="24"/>
        </w:rPr>
        <w:t>;</w:t>
      </w:r>
      <w:r w:rsidRPr="00571039">
        <w:rPr>
          <w:rFonts w:ascii="Times New Roman" w:hAnsi="Times New Roman"/>
          <w:sz w:val="24"/>
          <w:szCs w:val="24"/>
        </w:rPr>
        <w:t xml:space="preserve"> </w:t>
      </w:r>
    </w:p>
    <w:p w14:paraId="5FBA815D" w14:textId="2DA375F8" w:rsidR="008E4021" w:rsidRDefault="008E4021" w:rsidP="006A410A">
      <w:pPr>
        <w:pStyle w:val="Loendilik"/>
        <w:numPr>
          <w:ilvl w:val="0"/>
          <w:numId w:val="2"/>
        </w:numPr>
        <w:spacing w:after="240"/>
        <w:ind w:left="357" w:hanging="357"/>
        <w:contextualSpacing w:val="0"/>
        <w:jc w:val="both"/>
        <w:rPr>
          <w:rFonts w:ascii="Times New Roman" w:hAnsi="Times New Roman"/>
          <w:sz w:val="24"/>
          <w:szCs w:val="24"/>
        </w:rPr>
      </w:pPr>
      <w:r>
        <w:rPr>
          <w:rFonts w:ascii="Times New Roman" w:hAnsi="Times New Roman"/>
          <w:sz w:val="24"/>
          <w:szCs w:val="24"/>
        </w:rPr>
        <w:t>A</w:t>
      </w:r>
      <w:r w:rsidRPr="008E4021">
        <w:rPr>
          <w:rFonts w:ascii="Times New Roman" w:hAnsi="Times New Roman"/>
          <w:sz w:val="24"/>
          <w:szCs w:val="24"/>
        </w:rPr>
        <w:t xml:space="preserve"> ban on ‘carrying’ of lead ammunition in the field</w:t>
      </w:r>
      <w:r w:rsidR="006A410A">
        <w:rPr>
          <w:rFonts w:ascii="Times New Roman" w:hAnsi="Times New Roman"/>
          <w:sz w:val="24"/>
          <w:szCs w:val="24"/>
        </w:rPr>
        <w:t>, as well as mandatory m</w:t>
      </w:r>
      <w:r w:rsidR="006A410A" w:rsidRPr="008E4021">
        <w:rPr>
          <w:rFonts w:ascii="Times New Roman" w:hAnsi="Times New Roman"/>
          <w:sz w:val="24"/>
          <w:szCs w:val="24"/>
        </w:rPr>
        <w:t xml:space="preserve">arking of individual </w:t>
      </w:r>
      <w:r w:rsidR="006A410A">
        <w:rPr>
          <w:rFonts w:ascii="Times New Roman" w:hAnsi="Times New Roman"/>
          <w:sz w:val="24"/>
          <w:szCs w:val="24"/>
        </w:rPr>
        <w:t xml:space="preserve">lead </w:t>
      </w:r>
      <w:r w:rsidR="006A410A" w:rsidRPr="008E4021">
        <w:rPr>
          <w:rFonts w:ascii="Times New Roman" w:hAnsi="Times New Roman"/>
          <w:sz w:val="24"/>
          <w:szCs w:val="24"/>
        </w:rPr>
        <w:t xml:space="preserve">bullets </w:t>
      </w:r>
      <w:r w:rsidR="006A410A">
        <w:rPr>
          <w:rFonts w:ascii="Times New Roman" w:hAnsi="Times New Roman"/>
          <w:sz w:val="24"/>
          <w:szCs w:val="24"/>
        </w:rPr>
        <w:t>and</w:t>
      </w:r>
      <w:r w:rsidR="006A410A" w:rsidRPr="008E4021">
        <w:rPr>
          <w:rFonts w:ascii="Times New Roman" w:hAnsi="Times New Roman"/>
          <w:sz w:val="24"/>
          <w:szCs w:val="24"/>
        </w:rPr>
        <w:t xml:space="preserve"> shot cartridges</w:t>
      </w:r>
      <w:r w:rsidR="006A410A">
        <w:rPr>
          <w:rFonts w:ascii="Times New Roman" w:hAnsi="Times New Roman"/>
          <w:sz w:val="24"/>
          <w:szCs w:val="24"/>
        </w:rPr>
        <w:t xml:space="preserve">, are </w:t>
      </w:r>
      <w:r>
        <w:rPr>
          <w:rFonts w:ascii="Times New Roman" w:hAnsi="Times New Roman"/>
          <w:sz w:val="24"/>
          <w:szCs w:val="24"/>
        </w:rPr>
        <w:t xml:space="preserve">added </w:t>
      </w:r>
      <w:r w:rsidRPr="008E4021">
        <w:rPr>
          <w:rFonts w:ascii="Times New Roman" w:hAnsi="Times New Roman"/>
          <w:sz w:val="24"/>
          <w:szCs w:val="24"/>
        </w:rPr>
        <w:t xml:space="preserve">to facilitate the enforcement of the ban on the use of lead ammunition </w:t>
      </w:r>
      <w:r>
        <w:rPr>
          <w:rFonts w:ascii="Times New Roman" w:hAnsi="Times New Roman"/>
          <w:sz w:val="24"/>
          <w:szCs w:val="24"/>
        </w:rPr>
        <w:t>for</w:t>
      </w:r>
      <w:r w:rsidRPr="008E4021">
        <w:rPr>
          <w:rFonts w:ascii="Times New Roman" w:hAnsi="Times New Roman"/>
          <w:sz w:val="24"/>
          <w:szCs w:val="24"/>
        </w:rPr>
        <w:t xml:space="preserve"> hunting</w:t>
      </w:r>
      <w:r w:rsidR="007462D6">
        <w:rPr>
          <w:rFonts w:ascii="Times New Roman" w:hAnsi="Times New Roman"/>
          <w:sz w:val="24"/>
          <w:szCs w:val="24"/>
        </w:rPr>
        <w:t>.</w:t>
      </w:r>
      <w:r w:rsidRPr="008E4021">
        <w:rPr>
          <w:rFonts w:ascii="Times New Roman" w:hAnsi="Times New Roman"/>
          <w:sz w:val="24"/>
          <w:szCs w:val="24"/>
        </w:rPr>
        <w:t xml:space="preserve"> </w:t>
      </w:r>
    </w:p>
    <w:p w14:paraId="2DDD1C48" w14:textId="77777777" w:rsidR="00F5049F" w:rsidRPr="00F77FFD" w:rsidRDefault="00F5049F" w:rsidP="003C3B11">
      <w:pPr>
        <w:pStyle w:val="Loendilik"/>
        <w:keepNext/>
        <w:keepLines/>
        <w:numPr>
          <w:ilvl w:val="0"/>
          <w:numId w:val="3"/>
        </w:numPr>
        <w:autoSpaceDE w:val="0"/>
        <w:autoSpaceDN w:val="0"/>
        <w:adjustRightInd w:val="0"/>
        <w:spacing w:after="0" w:line="240" w:lineRule="auto"/>
        <w:ind w:left="714" w:hanging="357"/>
        <w:rPr>
          <w:rFonts w:ascii="Times New Roman" w:hAnsi="Times New Roman"/>
          <w:b/>
          <w:i/>
          <w:color w:val="000000"/>
          <w:sz w:val="24"/>
          <w:szCs w:val="24"/>
          <w:lang w:eastAsia="en-GB"/>
        </w:rPr>
      </w:pPr>
      <w:r w:rsidRPr="00F77FFD">
        <w:rPr>
          <w:rFonts w:ascii="Times New Roman" w:hAnsi="Times New Roman"/>
          <w:b/>
          <w:i/>
          <w:color w:val="000000"/>
          <w:sz w:val="24"/>
          <w:szCs w:val="24"/>
          <w:lang w:eastAsia="en-GB"/>
        </w:rPr>
        <w:t>Divergences from the ECHA Committees</w:t>
      </w:r>
      <w:r w:rsidR="00077886">
        <w:rPr>
          <w:rFonts w:ascii="Times New Roman" w:hAnsi="Times New Roman"/>
          <w:b/>
          <w:i/>
          <w:color w:val="000000"/>
          <w:sz w:val="24"/>
          <w:szCs w:val="24"/>
          <w:lang w:eastAsia="en-GB"/>
        </w:rPr>
        <w:t>’</w:t>
      </w:r>
      <w:r w:rsidRPr="00F77FFD">
        <w:rPr>
          <w:rFonts w:ascii="Times New Roman" w:hAnsi="Times New Roman"/>
          <w:b/>
          <w:i/>
          <w:color w:val="000000"/>
          <w:sz w:val="24"/>
          <w:szCs w:val="24"/>
          <w:lang w:eastAsia="en-GB"/>
        </w:rPr>
        <w:t xml:space="preserve"> opinions  </w:t>
      </w:r>
    </w:p>
    <w:p w14:paraId="1692C6A2" w14:textId="77777777" w:rsidR="00F5049F" w:rsidRPr="00F77FFD" w:rsidRDefault="00F5049F" w:rsidP="00F5049F">
      <w:pPr>
        <w:pStyle w:val="Loendilik"/>
        <w:autoSpaceDE w:val="0"/>
        <w:autoSpaceDN w:val="0"/>
        <w:adjustRightInd w:val="0"/>
        <w:spacing w:after="0" w:line="240" w:lineRule="auto"/>
        <w:rPr>
          <w:rFonts w:ascii="Times New Roman" w:hAnsi="Times New Roman"/>
          <w:sz w:val="24"/>
          <w:szCs w:val="24"/>
          <w:lang w:eastAsia="en-GB"/>
        </w:rPr>
      </w:pPr>
    </w:p>
    <w:p w14:paraId="17DAEB7A" w14:textId="03E56B02" w:rsidR="00F5049F" w:rsidRPr="00F77FFD" w:rsidRDefault="00F5049F" w:rsidP="003C3B11">
      <w:pPr>
        <w:jc w:val="both"/>
        <w:rPr>
          <w:rFonts w:ascii="Times New Roman" w:hAnsi="Times New Roman"/>
          <w:sz w:val="24"/>
          <w:szCs w:val="24"/>
          <w:lang w:eastAsia="en-GB"/>
        </w:rPr>
      </w:pPr>
      <w:r w:rsidRPr="00F77FFD">
        <w:rPr>
          <w:rFonts w:ascii="Times New Roman" w:hAnsi="Times New Roman"/>
          <w:sz w:val="24"/>
          <w:szCs w:val="24"/>
          <w:lang w:eastAsia="en-GB"/>
        </w:rPr>
        <w:t xml:space="preserve">Furthermore, in drafting the proposed amendment to Annex XVII, the Commission adapted, or deviated from, the opinions of RAC and SEAC </w:t>
      </w:r>
      <w:r w:rsidR="00335366">
        <w:rPr>
          <w:rFonts w:ascii="Times New Roman" w:hAnsi="Times New Roman"/>
          <w:sz w:val="24"/>
          <w:szCs w:val="24"/>
          <w:lang w:eastAsia="en-GB"/>
        </w:rPr>
        <w:t>o</w:t>
      </w:r>
      <w:r w:rsidRPr="00F77FFD">
        <w:rPr>
          <w:rFonts w:ascii="Times New Roman" w:hAnsi="Times New Roman"/>
          <w:sz w:val="24"/>
          <w:szCs w:val="24"/>
          <w:lang w:eastAsia="en-GB"/>
        </w:rPr>
        <w:t>n a number of points:</w:t>
      </w:r>
    </w:p>
    <w:p w14:paraId="5842546C" w14:textId="4F9A8F62" w:rsidR="003C3B11" w:rsidRDefault="00B0413C" w:rsidP="00B0413C">
      <w:pPr>
        <w:pStyle w:val="Loendilik"/>
        <w:numPr>
          <w:ilvl w:val="0"/>
          <w:numId w:val="4"/>
        </w:numPr>
        <w:spacing w:after="120"/>
        <w:jc w:val="both"/>
        <w:rPr>
          <w:rFonts w:ascii="Times New Roman" w:hAnsi="Times New Roman"/>
          <w:sz w:val="24"/>
          <w:szCs w:val="24"/>
        </w:rPr>
      </w:pPr>
      <w:r w:rsidRPr="00B0413C">
        <w:rPr>
          <w:rFonts w:ascii="Times New Roman" w:hAnsi="Times New Roman"/>
          <w:sz w:val="24"/>
          <w:szCs w:val="24"/>
        </w:rPr>
        <w:lastRenderedPageBreak/>
        <w:t xml:space="preserve">The ban on the use for hunting of lead centrefire bullets of calibres smaller than 5,6 mm, and of lead rimfire bullets of any calibre, </w:t>
      </w:r>
      <w:r w:rsidR="003C3B11">
        <w:rPr>
          <w:rFonts w:ascii="Times New Roman" w:hAnsi="Times New Roman"/>
          <w:sz w:val="24"/>
          <w:szCs w:val="24"/>
        </w:rPr>
        <w:t xml:space="preserve">is </w:t>
      </w:r>
      <w:r w:rsidR="00237915">
        <w:rPr>
          <w:rFonts w:ascii="Times New Roman" w:hAnsi="Times New Roman"/>
          <w:sz w:val="24"/>
          <w:szCs w:val="24"/>
        </w:rPr>
        <w:t>set</w:t>
      </w:r>
      <w:r w:rsidR="003C3B11">
        <w:rPr>
          <w:rFonts w:ascii="Times New Roman" w:hAnsi="Times New Roman"/>
          <w:sz w:val="24"/>
          <w:szCs w:val="24"/>
        </w:rPr>
        <w:t xml:space="preserve"> to </w:t>
      </w:r>
      <w:r w:rsidRPr="00B0413C">
        <w:rPr>
          <w:rFonts w:ascii="Times New Roman" w:hAnsi="Times New Roman"/>
          <w:sz w:val="24"/>
          <w:szCs w:val="24"/>
        </w:rPr>
        <w:t xml:space="preserve">start applying after a transitional period of 10 years, </w:t>
      </w:r>
      <w:r w:rsidR="00B01A67">
        <w:rPr>
          <w:rFonts w:ascii="Times New Roman" w:hAnsi="Times New Roman"/>
          <w:sz w:val="24"/>
          <w:szCs w:val="24"/>
        </w:rPr>
        <w:t xml:space="preserve">rather than 5 years, </w:t>
      </w:r>
      <w:r w:rsidR="006A410A">
        <w:rPr>
          <w:rFonts w:ascii="Times New Roman" w:hAnsi="Times New Roman"/>
          <w:sz w:val="24"/>
          <w:szCs w:val="24"/>
        </w:rPr>
        <w:t>t</w:t>
      </w:r>
      <w:r w:rsidRPr="00B0413C">
        <w:rPr>
          <w:rFonts w:ascii="Times New Roman" w:hAnsi="Times New Roman"/>
          <w:sz w:val="24"/>
          <w:szCs w:val="24"/>
        </w:rPr>
        <w:t xml:space="preserve">o allow more time for the development and testing of alternatives, currently lacking. </w:t>
      </w:r>
    </w:p>
    <w:p w14:paraId="7582BE7A" w14:textId="77777777" w:rsidR="004D5972" w:rsidRPr="00B0413C" w:rsidRDefault="004D5972" w:rsidP="004D5972">
      <w:pPr>
        <w:pStyle w:val="Loendilik"/>
        <w:numPr>
          <w:ilvl w:val="0"/>
          <w:numId w:val="4"/>
        </w:numPr>
        <w:spacing w:after="120"/>
        <w:jc w:val="both"/>
        <w:rPr>
          <w:rFonts w:ascii="Times New Roman" w:hAnsi="Times New Roman"/>
          <w:sz w:val="24"/>
          <w:szCs w:val="24"/>
        </w:rPr>
      </w:pPr>
      <w:r>
        <w:rPr>
          <w:rFonts w:ascii="Times New Roman" w:hAnsi="Times New Roman"/>
          <w:sz w:val="24"/>
          <w:szCs w:val="24"/>
        </w:rPr>
        <w:t>Airgun pellets are not included in the scope of the restriction because al</w:t>
      </w:r>
      <w:r w:rsidRPr="00B0413C">
        <w:rPr>
          <w:rFonts w:ascii="Times New Roman" w:hAnsi="Times New Roman"/>
          <w:sz w:val="24"/>
          <w:szCs w:val="24"/>
        </w:rPr>
        <w:t xml:space="preserve">ternatives to lead airgun pellets are available in low quantities, lack precision and their price is up to four times higher </w:t>
      </w:r>
      <w:r>
        <w:rPr>
          <w:rFonts w:ascii="Times New Roman" w:hAnsi="Times New Roman"/>
          <w:sz w:val="24"/>
          <w:szCs w:val="24"/>
        </w:rPr>
        <w:t>than</w:t>
      </w:r>
      <w:r w:rsidRPr="00B0413C">
        <w:rPr>
          <w:rFonts w:ascii="Times New Roman" w:hAnsi="Times New Roman"/>
          <w:sz w:val="24"/>
          <w:szCs w:val="24"/>
        </w:rPr>
        <w:t xml:space="preserve"> lead </w:t>
      </w:r>
      <w:r>
        <w:rPr>
          <w:rFonts w:ascii="Times New Roman" w:hAnsi="Times New Roman"/>
          <w:sz w:val="24"/>
          <w:szCs w:val="24"/>
        </w:rPr>
        <w:t xml:space="preserve">airgun </w:t>
      </w:r>
      <w:r w:rsidRPr="00B0413C">
        <w:rPr>
          <w:rFonts w:ascii="Times New Roman" w:hAnsi="Times New Roman"/>
          <w:sz w:val="24"/>
          <w:szCs w:val="24"/>
        </w:rPr>
        <w:t>pellets. In addition, a restriction on lead pellets used in air</w:t>
      </w:r>
      <w:r>
        <w:rPr>
          <w:rFonts w:ascii="Times New Roman" w:hAnsi="Times New Roman"/>
          <w:sz w:val="24"/>
          <w:szCs w:val="24"/>
        </w:rPr>
        <w:t>guns</w:t>
      </w:r>
      <w:r w:rsidRPr="00B0413C">
        <w:rPr>
          <w:rFonts w:ascii="Times New Roman" w:hAnsi="Times New Roman"/>
          <w:sz w:val="24"/>
          <w:szCs w:val="24"/>
        </w:rPr>
        <w:t xml:space="preserve"> would contribute only marginally to the reduction of lead emissions and would not decrease risks to people. </w:t>
      </w:r>
    </w:p>
    <w:p w14:paraId="5E3027E9" w14:textId="77777777" w:rsidR="004D5972" w:rsidRPr="00B0413C" w:rsidRDefault="004D5972" w:rsidP="004D5972">
      <w:pPr>
        <w:pStyle w:val="Loendilik"/>
        <w:numPr>
          <w:ilvl w:val="0"/>
          <w:numId w:val="4"/>
        </w:numPr>
        <w:spacing w:after="120"/>
        <w:jc w:val="both"/>
        <w:rPr>
          <w:rFonts w:ascii="Times New Roman" w:hAnsi="Times New Roman"/>
          <w:sz w:val="24"/>
          <w:szCs w:val="24"/>
        </w:rPr>
      </w:pPr>
      <w:r w:rsidRPr="00B0413C">
        <w:rPr>
          <w:rFonts w:ascii="Times New Roman" w:hAnsi="Times New Roman"/>
          <w:sz w:val="24"/>
          <w:szCs w:val="24"/>
        </w:rPr>
        <w:t xml:space="preserve">The restriction on the placing on the market and use of fishing wires and on drop-in sinkers </w:t>
      </w:r>
      <w:r>
        <w:rPr>
          <w:rFonts w:ascii="Times New Roman" w:hAnsi="Times New Roman"/>
          <w:sz w:val="24"/>
          <w:szCs w:val="24"/>
        </w:rPr>
        <w:t xml:space="preserve">is set to apply </w:t>
      </w:r>
      <w:r w:rsidRPr="00B0413C">
        <w:rPr>
          <w:rFonts w:ascii="Times New Roman" w:hAnsi="Times New Roman"/>
          <w:sz w:val="24"/>
          <w:szCs w:val="24"/>
        </w:rPr>
        <w:t>after a short transitional period of 6 months</w:t>
      </w:r>
      <w:r>
        <w:rPr>
          <w:rFonts w:ascii="Times New Roman" w:hAnsi="Times New Roman"/>
          <w:sz w:val="24"/>
          <w:szCs w:val="24"/>
        </w:rPr>
        <w:t xml:space="preserve"> (rather than at entry into force)</w:t>
      </w:r>
      <w:r w:rsidRPr="00B0413C">
        <w:rPr>
          <w:rFonts w:ascii="Times New Roman" w:hAnsi="Times New Roman"/>
          <w:sz w:val="24"/>
          <w:szCs w:val="24"/>
        </w:rPr>
        <w:t xml:space="preserve">, to rapidly </w:t>
      </w:r>
      <w:r>
        <w:rPr>
          <w:rFonts w:ascii="Times New Roman" w:hAnsi="Times New Roman"/>
          <w:sz w:val="24"/>
          <w:szCs w:val="24"/>
        </w:rPr>
        <w:t>prevent</w:t>
      </w:r>
      <w:r w:rsidRPr="00B0413C">
        <w:rPr>
          <w:rFonts w:ascii="Times New Roman" w:hAnsi="Times New Roman"/>
          <w:sz w:val="24"/>
          <w:szCs w:val="24"/>
        </w:rPr>
        <w:t xml:space="preserve"> a direct and deliberate release of lead into the environment while still granting some time to operators to adapt to the restriction.</w:t>
      </w:r>
    </w:p>
    <w:p w14:paraId="472E69E9" w14:textId="6D357DB2" w:rsidR="00C91AF5" w:rsidRDefault="00237915" w:rsidP="00237915">
      <w:pPr>
        <w:pStyle w:val="Loendilik"/>
        <w:numPr>
          <w:ilvl w:val="0"/>
          <w:numId w:val="4"/>
        </w:numPr>
        <w:spacing w:after="120"/>
        <w:jc w:val="both"/>
        <w:rPr>
          <w:rFonts w:ascii="Times New Roman" w:hAnsi="Times New Roman"/>
          <w:sz w:val="24"/>
          <w:szCs w:val="24"/>
        </w:rPr>
      </w:pPr>
      <w:r w:rsidRPr="00237915">
        <w:rPr>
          <w:rFonts w:ascii="Times New Roman" w:hAnsi="Times New Roman"/>
          <w:sz w:val="24"/>
          <w:szCs w:val="24"/>
        </w:rPr>
        <w:t xml:space="preserve">A </w:t>
      </w:r>
      <w:r w:rsidR="006A410A">
        <w:rPr>
          <w:rFonts w:ascii="Times New Roman" w:hAnsi="Times New Roman"/>
          <w:sz w:val="24"/>
          <w:szCs w:val="24"/>
        </w:rPr>
        <w:t xml:space="preserve">15-year </w:t>
      </w:r>
      <w:r w:rsidRPr="00237915">
        <w:rPr>
          <w:rFonts w:ascii="Times New Roman" w:hAnsi="Times New Roman"/>
          <w:sz w:val="24"/>
          <w:szCs w:val="24"/>
        </w:rPr>
        <w:t xml:space="preserve">derogation for the use and placing on the market of lead gunshot for sport shooting is </w:t>
      </w:r>
      <w:r w:rsidR="00B01A67">
        <w:rPr>
          <w:rFonts w:ascii="Times New Roman" w:hAnsi="Times New Roman"/>
          <w:sz w:val="24"/>
          <w:szCs w:val="24"/>
        </w:rPr>
        <w:t>adde</w:t>
      </w:r>
      <w:r w:rsidRPr="00237915">
        <w:rPr>
          <w:rFonts w:ascii="Times New Roman" w:hAnsi="Times New Roman"/>
          <w:sz w:val="24"/>
          <w:szCs w:val="24"/>
        </w:rPr>
        <w:t>d</w:t>
      </w:r>
      <w:r w:rsidR="00317F0D">
        <w:rPr>
          <w:rFonts w:ascii="Times New Roman" w:hAnsi="Times New Roman"/>
          <w:sz w:val="24"/>
          <w:szCs w:val="24"/>
        </w:rPr>
        <w:t>, to allow</w:t>
      </w:r>
      <w:r w:rsidR="00655180" w:rsidRPr="00237915">
        <w:rPr>
          <w:rFonts w:ascii="Times New Roman" w:hAnsi="Times New Roman"/>
          <w:sz w:val="24"/>
          <w:szCs w:val="24"/>
        </w:rPr>
        <w:t xml:space="preserve"> EU Member States to </w:t>
      </w:r>
      <w:r w:rsidR="00317F0D">
        <w:rPr>
          <w:rFonts w:ascii="Times New Roman" w:hAnsi="Times New Roman"/>
          <w:sz w:val="24"/>
          <w:szCs w:val="24"/>
        </w:rPr>
        <w:t xml:space="preserve">continue </w:t>
      </w:r>
      <w:r w:rsidR="00655180" w:rsidRPr="00237915">
        <w:rPr>
          <w:rFonts w:ascii="Times New Roman" w:hAnsi="Times New Roman"/>
          <w:sz w:val="24"/>
          <w:szCs w:val="24"/>
        </w:rPr>
        <w:t>host</w:t>
      </w:r>
      <w:r w:rsidR="00317F0D">
        <w:rPr>
          <w:rFonts w:ascii="Times New Roman" w:hAnsi="Times New Roman"/>
          <w:sz w:val="24"/>
          <w:szCs w:val="24"/>
        </w:rPr>
        <w:t>ing</w:t>
      </w:r>
      <w:r w:rsidR="00655180" w:rsidRPr="00237915">
        <w:rPr>
          <w:rFonts w:ascii="Times New Roman" w:hAnsi="Times New Roman"/>
          <w:sz w:val="24"/>
          <w:szCs w:val="24"/>
        </w:rPr>
        <w:t xml:space="preserve"> the Olympics and other international competitions where the use of lead is currently mandatory</w:t>
      </w:r>
      <w:r w:rsidR="00317F0D">
        <w:rPr>
          <w:rFonts w:ascii="Times New Roman" w:hAnsi="Times New Roman"/>
          <w:sz w:val="24"/>
          <w:szCs w:val="24"/>
        </w:rPr>
        <w:t xml:space="preserve">, and </w:t>
      </w:r>
      <w:r w:rsidR="00655180" w:rsidRPr="00237915">
        <w:rPr>
          <w:rFonts w:ascii="Times New Roman" w:hAnsi="Times New Roman"/>
          <w:sz w:val="24"/>
          <w:szCs w:val="24"/>
        </w:rPr>
        <w:t xml:space="preserve">EU athletes </w:t>
      </w:r>
      <w:r w:rsidR="00317F0D">
        <w:rPr>
          <w:rFonts w:ascii="Times New Roman" w:hAnsi="Times New Roman"/>
          <w:sz w:val="24"/>
          <w:szCs w:val="24"/>
        </w:rPr>
        <w:t>to continue</w:t>
      </w:r>
      <w:r w:rsidR="00655180" w:rsidRPr="00237915">
        <w:rPr>
          <w:rFonts w:ascii="Times New Roman" w:hAnsi="Times New Roman"/>
          <w:sz w:val="24"/>
          <w:szCs w:val="24"/>
        </w:rPr>
        <w:t xml:space="preserve"> training with lead shot</w:t>
      </w:r>
      <w:r w:rsidR="00317F0D">
        <w:rPr>
          <w:rFonts w:ascii="Times New Roman" w:hAnsi="Times New Roman"/>
          <w:sz w:val="24"/>
          <w:szCs w:val="24"/>
        </w:rPr>
        <w:t xml:space="preserve"> and maintain </w:t>
      </w:r>
      <w:r w:rsidR="00655180" w:rsidRPr="00237915">
        <w:rPr>
          <w:rFonts w:ascii="Times New Roman" w:hAnsi="Times New Roman"/>
          <w:sz w:val="24"/>
          <w:szCs w:val="24"/>
        </w:rPr>
        <w:t xml:space="preserve">their competitiveness. </w:t>
      </w:r>
      <w:r w:rsidR="006A410A" w:rsidRPr="00237915">
        <w:rPr>
          <w:rFonts w:ascii="Times New Roman" w:hAnsi="Times New Roman"/>
          <w:sz w:val="24"/>
          <w:szCs w:val="24"/>
        </w:rPr>
        <w:t>The derogation</w:t>
      </w:r>
      <w:r w:rsidR="006A410A">
        <w:rPr>
          <w:rFonts w:ascii="Times New Roman" w:hAnsi="Times New Roman"/>
          <w:sz w:val="24"/>
          <w:szCs w:val="24"/>
        </w:rPr>
        <w:t xml:space="preserve">, </w:t>
      </w:r>
      <w:r w:rsidR="006A410A" w:rsidRPr="00237915">
        <w:rPr>
          <w:rFonts w:ascii="Times New Roman" w:hAnsi="Times New Roman"/>
          <w:sz w:val="24"/>
          <w:szCs w:val="24"/>
        </w:rPr>
        <w:t xml:space="preserve">limited to gunshot </w:t>
      </w:r>
      <w:r w:rsidR="008C471D">
        <w:rPr>
          <w:rFonts w:ascii="Times New Roman" w:hAnsi="Times New Roman"/>
          <w:sz w:val="24"/>
          <w:szCs w:val="24"/>
        </w:rPr>
        <w:t>sizes</w:t>
      </w:r>
      <w:r w:rsidR="008C471D" w:rsidRPr="00237915">
        <w:rPr>
          <w:rFonts w:ascii="Times New Roman" w:hAnsi="Times New Roman"/>
          <w:sz w:val="24"/>
          <w:szCs w:val="24"/>
        </w:rPr>
        <w:t xml:space="preserve"> </w:t>
      </w:r>
      <w:r w:rsidR="006A410A" w:rsidRPr="00237915">
        <w:rPr>
          <w:rFonts w:ascii="Times New Roman" w:hAnsi="Times New Roman"/>
          <w:sz w:val="24"/>
          <w:szCs w:val="24"/>
        </w:rPr>
        <w:t xml:space="preserve">between 1.9 and 2.6 mm, </w:t>
      </w:r>
      <w:r w:rsidR="006A410A">
        <w:rPr>
          <w:rFonts w:ascii="Times New Roman" w:hAnsi="Times New Roman"/>
          <w:sz w:val="24"/>
          <w:szCs w:val="24"/>
        </w:rPr>
        <w:t>is conditional to</w:t>
      </w:r>
      <w:r w:rsidR="006A410A" w:rsidRPr="00237915">
        <w:rPr>
          <w:rFonts w:ascii="Times New Roman" w:hAnsi="Times New Roman"/>
          <w:sz w:val="24"/>
          <w:szCs w:val="24"/>
        </w:rPr>
        <w:t xml:space="preserve"> the presence of appropriate risk management measures to ensure lead containment and limit lead release in the shooting range where the sports shooting takes plac</w:t>
      </w:r>
      <w:r w:rsidR="006A410A">
        <w:rPr>
          <w:rFonts w:ascii="Times New Roman" w:hAnsi="Times New Roman"/>
          <w:sz w:val="24"/>
          <w:szCs w:val="24"/>
        </w:rPr>
        <w:t>e</w:t>
      </w:r>
      <w:r w:rsidR="006A410A" w:rsidRPr="00237915">
        <w:rPr>
          <w:rFonts w:ascii="Times New Roman" w:hAnsi="Times New Roman"/>
          <w:sz w:val="24"/>
          <w:szCs w:val="24"/>
        </w:rPr>
        <w:t xml:space="preserve">. </w:t>
      </w:r>
      <w:r w:rsidR="007462D6" w:rsidRPr="5063BC3E">
        <w:rPr>
          <w:rFonts w:ascii="Times New Roman" w:hAnsi="Times New Roman"/>
          <w:sz w:val="24"/>
          <w:szCs w:val="24"/>
        </w:rPr>
        <w:t xml:space="preserve">Such risk management measures need to be put in place 5 years after the entry into force. </w:t>
      </w:r>
      <w:r w:rsidR="006E6C1C">
        <w:rPr>
          <w:rFonts w:ascii="Times New Roman" w:hAnsi="Times New Roman"/>
          <w:sz w:val="24"/>
          <w:szCs w:val="24"/>
        </w:rPr>
        <w:t xml:space="preserve">The </w:t>
      </w:r>
      <w:r w:rsidR="00655180">
        <w:rPr>
          <w:rFonts w:ascii="Times New Roman" w:hAnsi="Times New Roman"/>
          <w:sz w:val="24"/>
          <w:szCs w:val="24"/>
        </w:rPr>
        <w:t>required</w:t>
      </w:r>
      <w:r w:rsidR="006A410A" w:rsidRPr="00237915">
        <w:rPr>
          <w:rFonts w:ascii="Times New Roman" w:hAnsi="Times New Roman"/>
          <w:sz w:val="24"/>
          <w:szCs w:val="24"/>
        </w:rPr>
        <w:t xml:space="preserve"> risk management measure</w:t>
      </w:r>
      <w:r w:rsidR="00B01A67">
        <w:rPr>
          <w:rFonts w:ascii="Times New Roman" w:hAnsi="Times New Roman"/>
          <w:sz w:val="24"/>
          <w:szCs w:val="24"/>
        </w:rPr>
        <w:t xml:space="preserve">s differ from those proposed by the Agency </w:t>
      </w:r>
      <w:r w:rsidR="00646D5A">
        <w:rPr>
          <w:rFonts w:ascii="Times New Roman" w:hAnsi="Times New Roman"/>
          <w:sz w:val="24"/>
          <w:szCs w:val="24"/>
        </w:rPr>
        <w:t>(</w:t>
      </w:r>
      <w:r w:rsidR="00B01A67">
        <w:rPr>
          <w:rFonts w:ascii="Times New Roman" w:hAnsi="Times New Roman"/>
          <w:sz w:val="24"/>
          <w:szCs w:val="24"/>
        </w:rPr>
        <w:t xml:space="preserve">but </w:t>
      </w:r>
      <w:r w:rsidR="006A410A" w:rsidRPr="00237915">
        <w:rPr>
          <w:rFonts w:ascii="Times New Roman" w:hAnsi="Times New Roman"/>
          <w:sz w:val="24"/>
          <w:szCs w:val="24"/>
        </w:rPr>
        <w:t>s</w:t>
      </w:r>
      <w:r w:rsidR="00B01A67" w:rsidRPr="00B0413C">
        <w:rPr>
          <w:rFonts w:ascii="Times New Roman" w:hAnsi="Times New Roman"/>
          <w:sz w:val="24"/>
          <w:szCs w:val="24"/>
        </w:rPr>
        <w:t>till guarantee a high level of protection from lead emissions</w:t>
      </w:r>
      <w:r w:rsidR="00646D5A">
        <w:rPr>
          <w:rFonts w:ascii="Times New Roman" w:hAnsi="Times New Roman"/>
          <w:sz w:val="24"/>
          <w:szCs w:val="24"/>
        </w:rPr>
        <w:t>)</w:t>
      </w:r>
      <w:r w:rsidR="008C427F">
        <w:rPr>
          <w:rFonts w:ascii="Times New Roman" w:hAnsi="Times New Roman"/>
          <w:sz w:val="24"/>
          <w:szCs w:val="24"/>
        </w:rPr>
        <w:t>, as follows</w:t>
      </w:r>
      <w:r w:rsidR="00655180">
        <w:rPr>
          <w:rFonts w:ascii="Times New Roman" w:hAnsi="Times New Roman"/>
          <w:sz w:val="24"/>
          <w:szCs w:val="24"/>
        </w:rPr>
        <w:t xml:space="preserve">: </w:t>
      </w:r>
    </w:p>
    <w:p w14:paraId="0C22002E" w14:textId="10EE81EC" w:rsidR="006E6C1C" w:rsidRDefault="006E6C1C" w:rsidP="00C91AF5">
      <w:pPr>
        <w:pStyle w:val="Loendilik"/>
        <w:numPr>
          <w:ilvl w:val="1"/>
          <w:numId w:val="4"/>
        </w:numPr>
        <w:spacing w:after="120"/>
        <w:jc w:val="both"/>
        <w:rPr>
          <w:rFonts w:ascii="Times New Roman" w:hAnsi="Times New Roman"/>
          <w:sz w:val="24"/>
          <w:szCs w:val="24"/>
        </w:rPr>
      </w:pPr>
      <w:r>
        <w:rPr>
          <w:rFonts w:ascii="Times New Roman" w:hAnsi="Times New Roman"/>
          <w:sz w:val="24"/>
          <w:szCs w:val="24"/>
        </w:rPr>
        <w:t xml:space="preserve">The following </w:t>
      </w:r>
      <w:r w:rsidR="00775C44">
        <w:rPr>
          <w:rFonts w:ascii="Times New Roman" w:hAnsi="Times New Roman"/>
          <w:sz w:val="24"/>
          <w:szCs w:val="24"/>
        </w:rPr>
        <w:t>proposed</w:t>
      </w:r>
      <w:r>
        <w:rPr>
          <w:rFonts w:ascii="Times New Roman" w:hAnsi="Times New Roman"/>
          <w:sz w:val="24"/>
          <w:szCs w:val="24"/>
        </w:rPr>
        <w:t xml:space="preserve"> measures were not included:</w:t>
      </w:r>
    </w:p>
    <w:p w14:paraId="26789D01" w14:textId="5FC09AF5" w:rsidR="006E6C1C" w:rsidRDefault="006E6C1C" w:rsidP="006E6C1C">
      <w:pPr>
        <w:pStyle w:val="Loendilik"/>
        <w:numPr>
          <w:ilvl w:val="2"/>
          <w:numId w:val="4"/>
        </w:numPr>
        <w:spacing w:after="120"/>
        <w:jc w:val="both"/>
        <w:rPr>
          <w:rFonts w:ascii="Times New Roman" w:hAnsi="Times New Roman"/>
          <w:sz w:val="24"/>
          <w:szCs w:val="24"/>
        </w:rPr>
      </w:pPr>
      <w:r w:rsidRPr="006E6C1C">
        <w:rPr>
          <w:rFonts w:ascii="Times New Roman" w:hAnsi="Times New Roman"/>
          <w:sz w:val="24"/>
          <w:szCs w:val="24"/>
        </w:rPr>
        <w:t>the obligation to recover more than 90 % of spent lead gunshot</w:t>
      </w:r>
      <w:r>
        <w:rPr>
          <w:rFonts w:ascii="Times New Roman" w:hAnsi="Times New Roman"/>
          <w:sz w:val="24"/>
          <w:szCs w:val="24"/>
        </w:rPr>
        <w:t xml:space="preserve"> (considered </w:t>
      </w:r>
      <w:r w:rsidRPr="006E6C1C">
        <w:rPr>
          <w:rFonts w:ascii="Times New Roman" w:hAnsi="Times New Roman"/>
          <w:sz w:val="24"/>
          <w:szCs w:val="24"/>
        </w:rPr>
        <w:t>unfeasible</w:t>
      </w:r>
      <w:r>
        <w:rPr>
          <w:rFonts w:ascii="Times New Roman" w:hAnsi="Times New Roman"/>
          <w:sz w:val="24"/>
          <w:szCs w:val="24"/>
        </w:rPr>
        <w:t>)</w:t>
      </w:r>
      <w:r w:rsidR="007462D6">
        <w:rPr>
          <w:rFonts w:ascii="Times New Roman" w:hAnsi="Times New Roman"/>
          <w:sz w:val="24"/>
          <w:szCs w:val="24"/>
        </w:rPr>
        <w:t>; and</w:t>
      </w:r>
    </w:p>
    <w:p w14:paraId="77E3566E" w14:textId="609EC2D9" w:rsidR="006E6C1C" w:rsidRPr="00775C44" w:rsidRDefault="006E6C1C" w:rsidP="00775C44">
      <w:pPr>
        <w:pStyle w:val="Loendilik"/>
        <w:numPr>
          <w:ilvl w:val="2"/>
          <w:numId w:val="4"/>
        </w:numPr>
        <w:spacing w:after="120"/>
        <w:jc w:val="both"/>
        <w:rPr>
          <w:rFonts w:ascii="Times New Roman" w:hAnsi="Times New Roman"/>
          <w:sz w:val="24"/>
          <w:szCs w:val="24"/>
        </w:rPr>
      </w:pPr>
      <w:r w:rsidRPr="006E6C1C">
        <w:rPr>
          <w:rFonts w:ascii="Times New Roman" w:hAnsi="Times New Roman"/>
          <w:sz w:val="24"/>
          <w:szCs w:val="24"/>
        </w:rPr>
        <w:t>the mandatory licensing of users of sports- shooting ranges by Member States</w:t>
      </w:r>
      <w:r>
        <w:rPr>
          <w:rFonts w:ascii="Times New Roman" w:hAnsi="Times New Roman"/>
          <w:sz w:val="24"/>
          <w:szCs w:val="24"/>
        </w:rPr>
        <w:t xml:space="preserve"> (considered too burdensome);</w:t>
      </w:r>
    </w:p>
    <w:p w14:paraId="51D048FA" w14:textId="0B62D187" w:rsidR="006E6C1C" w:rsidRDefault="006E6C1C" w:rsidP="00C91AF5">
      <w:pPr>
        <w:pStyle w:val="Loendilik"/>
        <w:numPr>
          <w:ilvl w:val="1"/>
          <w:numId w:val="4"/>
        </w:numPr>
        <w:spacing w:after="120"/>
        <w:jc w:val="both"/>
        <w:rPr>
          <w:rFonts w:ascii="Times New Roman" w:hAnsi="Times New Roman"/>
          <w:sz w:val="24"/>
          <w:szCs w:val="24"/>
        </w:rPr>
      </w:pPr>
      <w:r>
        <w:rPr>
          <w:rFonts w:ascii="Times New Roman" w:hAnsi="Times New Roman"/>
          <w:sz w:val="24"/>
          <w:szCs w:val="24"/>
        </w:rPr>
        <w:t>The following new measures were included:</w:t>
      </w:r>
    </w:p>
    <w:p w14:paraId="00DF0729" w14:textId="4E0FDE4F" w:rsidR="00C91AF5" w:rsidRDefault="006A410A" w:rsidP="006E6C1C">
      <w:pPr>
        <w:pStyle w:val="Loendilik"/>
        <w:numPr>
          <w:ilvl w:val="2"/>
          <w:numId w:val="4"/>
        </w:numPr>
        <w:spacing w:after="120"/>
        <w:jc w:val="both"/>
        <w:rPr>
          <w:rFonts w:ascii="Times New Roman" w:hAnsi="Times New Roman"/>
          <w:sz w:val="24"/>
          <w:szCs w:val="24"/>
        </w:rPr>
      </w:pPr>
      <w:r w:rsidRPr="00237915">
        <w:rPr>
          <w:rFonts w:ascii="Times New Roman" w:hAnsi="Times New Roman"/>
          <w:sz w:val="24"/>
          <w:szCs w:val="24"/>
        </w:rPr>
        <w:t>at least two specific lead containment measures (walls, berms or banks, nets or shot curtains, and surface covering)</w:t>
      </w:r>
      <w:r w:rsidR="00655180">
        <w:rPr>
          <w:rFonts w:ascii="Times New Roman" w:hAnsi="Times New Roman"/>
          <w:sz w:val="24"/>
          <w:szCs w:val="24"/>
        </w:rPr>
        <w:t xml:space="preserve">; </w:t>
      </w:r>
    </w:p>
    <w:p w14:paraId="4619AC03" w14:textId="77777777" w:rsidR="008C427F" w:rsidRDefault="006A410A" w:rsidP="006E6C1C">
      <w:pPr>
        <w:pStyle w:val="Loendilik"/>
        <w:numPr>
          <w:ilvl w:val="2"/>
          <w:numId w:val="4"/>
        </w:numPr>
        <w:spacing w:after="120"/>
        <w:jc w:val="both"/>
        <w:rPr>
          <w:rFonts w:ascii="Times New Roman" w:hAnsi="Times New Roman"/>
          <w:sz w:val="24"/>
          <w:szCs w:val="24"/>
        </w:rPr>
      </w:pPr>
      <w:r w:rsidRPr="00237915">
        <w:rPr>
          <w:rFonts w:ascii="Times New Roman" w:hAnsi="Times New Roman"/>
          <w:sz w:val="24"/>
          <w:szCs w:val="24"/>
        </w:rPr>
        <w:t xml:space="preserve">pH </w:t>
      </w:r>
      <w:bookmarkStart w:id="0" w:name="_Hlk175305452"/>
      <w:r w:rsidRPr="00237915">
        <w:rPr>
          <w:rFonts w:ascii="Times New Roman" w:hAnsi="Times New Roman"/>
          <w:sz w:val="24"/>
          <w:szCs w:val="24"/>
        </w:rPr>
        <w:t>monitoring and, where necessary, treatment of gunshot impact areas</w:t>
      </w:r>
      <w:r w:rsidR="00655180">
        <w:rPr>
          <w:rFonts w:ascii="Times New Roman" w:hAnsi="Times New Roman"/>
          <w:sz w:val="24"/>
          <w:szCs w:val="24"/>
        </w:rPr>
        <w:t>;</w:t>
      </w:r>
    </w:p>
    <w:p w14:paraId="4C2E71FD" w14:textId="56BBED32" w:rsidR="00C91AF5" w:rsidRDefault="00C355D5" w:rsidP="006E6C1C">
      <w:pPr>
        <w:pStyle w:val="Loendilik"/>
        <w:numPr>
          <w:ilvl w:val="2"/>
          <w:numId w:val="4"/>
        </w:numPr>
        <w:spacing w:after="120"/>
        <w:jc w:val="both"/>
        <w:rPr>
          <w:rFonts w:ascii="Times New Roman" w:hAnsi="Times New Roman"/>
          <w:sz w:val="24"/>
          <w:szCs w:val="24"/>
        </w:rPr>
      </w:pPr>
      <w:bookmarkStart w:id="1" w:name="_Hlk175305484"/>
      <w:r>
        <w:rPr>
          <w:rFonts w:ascii="Times New Roman" w:hAnsi="Times New Roman"/>
          <w:sz w:val="24"/>
          <w:szCs w:val="24"/>
        </w:rPr>
        <w:t>r</w:t>
      </w:r>
      <w:r w:rsidR="008C427F" w:rsidRPr="008C427F">
        <w:rPr>
          <w:rFonts w:ascii="Times New Roman" w:hAnsi="Times New Roman"/>
          <w:sz w:val="24"/>
          <w:szCs w:val="24"/>
        </w:rPr>
        <w:t xml:space="preserve">ecovery of spent lead </w:t>
      </w:r>
      <w:r>
        <w:rPr>
          <w:rFonts w:ascii="Times New Roman" w:hAnsi="Times New Roman"/>
          <w:sz w:val="24"/>
          <w:szCs w:val="24"/>
        </w:rPr>
        <w:t>gun</w:t>
      </w:r>
      <w:r w:rsidR="008C427F" w:rsidRPr="008C427F">
        <w:rPr>
          <w:rFonts w:ascii="Times New Roman" w:hAnsi="Times New Roman"/>
          <w:sz w:val="24"/>
          <w:szCs w:val="24"/>
        </w:rPr>
        <w:t>shot at least every 3 years</w:t>
      </w:r>
      <w:bookmarkEnd w:id="0"/>
      <w:bookmarkEnd w:id="1"/>
      <w:r w:rsidR="001A6B7F">
        <w:rPr>
          <w:rFonts w:ascii="Times New Roman" w:hAnsi="Times New Roman"/>
          <w:sz w:val="24"/>
          <w:szCs w:val="24"/>
        </w:rPr>
        <w:t>,</w:t>
      </w:r>
      <w:r>
        <w:rPr>
          <w:rFonts w:ascii="Times New Roman" w:hAnsi="Times New Roman"/>
          <w:sz w:val="24"/>
          <w:szCs w:val="24"/>
        </w:rPr>
        <w:t xml:space="preserve"> without a minimum recovery rate</w:t>
      </w:r>
      <w:r w:rsidR="008C427F">
        <w:rPr>
          <w:rFonts w:ascii="Times New Roman" w:hAnsi="Times New Roman"/>
          <w:sz w:val="24"/>
          <w:szCs w:val="24"/>
        </w:rPr>
        <w:t>;</w:t>
      </w:r>
      <w:r w:rsidR="00655180">
        <w:rPr>
          <w:rFonts w:ascii="Times New Roman" w:hAnsi="Times New Roman"/>
          <w:sz w:val="24"/>
          <w:szCs w:val="24"/>
        </w:rPr>
        <w:t xml:space="preserve"> </w:t>
      </w:r>
    </w:p>
    <w:p w14:paraId="3FE2A626" w14:textId="77777777" w:rsidR="00C91AF5" w:rsidRDefault="006A410A" w:rsidP="006E6C1C">
      <w:pPr>
        <w:pStyle w:val="Loendilik"/>
        <w:numPr>
          <w:ilvl w:val="2"/>
          <w:numId w:val="4"/>
        </w:numPr>
        <w:spacing w:after="120"/>
        <w:jc w:val="both"/>
        <w:rPr>
          <w:rFonts w:ascii="Times New Roman" w:hAnsi="Times New Roman"/>
          <w:sz w:val="24"/>
          <w:szCs w:val="24"/>
        </w:rPr>
      </w:pPr>
      <w:r w:rsidRPr="00237915">
        <w:rPr>
          <w:rFonts w:ascii="Times New Roman" w:hAnsi="Times New Roman"/>
          <w:sz w:val="24"/>
          <w:szCs w:val="24"/>
        </w:rPr>
        <w:t>limiting the use of lead gunshot to members of a sports shooting federation</w:t>
      </w:r>
      <w:r w:rsidR="00655180">
        <w:rPr>
          <w:rFonts w:ascii="Times New Roman" w:hAnsi="Times New Roman"/>
          <w:sz w:val="24"/>
          <w:szCs w:val="24"/>
        </w:rPr>
        <w:t>;</w:t>
      </w:r>
      <w:r w:rsidRPr="00237915">
        <w:rPr>
          <w:rFonts w:ascii="Times New Roman" w:hAnsi="Times New Roman"/>
          <w:sz w:val="24"/>
          <w:szCs w:val="24"/>
        </w:rPr>
        <w:t xml:space="preserve"> and </w:t>
      </w:r>
    </w:p>
    <w:p w14:paraId="3C7C9F63" w14:textId="77777777" w:rsidR="00B01A67" w:rsidRDefault="006A410A" w:rsidP="006E6C1C">
      <w:pPr>
        <w:pStyle w:val="Loendilik"/>
        <w:numPr>
          <w:ilvl w:val="2"/>
          <w:numId w:val="4"/>
        </w:numPr>
        <w:spacing w:after="120"/>
        <w:jc w:val="both"/>
        <w:rPr>
          <w:rFonts w:ascii="Times New Roman" w:hAnsi="Times New Roman"/>
          <w:sz w:val="24"/>
          <w:szCs w:val="24"/>
        </w:rPr>
      </w:pPr>
      <w:r w:rsidRPr="00095617">
        <w:rPr>
          <w:rFonts w:ascii="Times New Roman" w:hAnsi="Times New Roman"/>
          <w:sz w:val="24"/>
          <w:szCs w:val="24"/>
        </w:rPr>
        <w:t>limiting the operators</w:t>
      </w:r>
      <w:r w:rsidRPr="00237915">
        <w:rPr>
          <w:rFonts w:ascii="Times New Roman" w:hAnsi="Times New Roman"/>
          <w:sz w:val="24"/>
          <w:szCs w:val="24"/>
        </w:rPr>
        <w:t xml:space="preserve"> that can place the derogated gunshot calibres on the market.</w:t>
      </w:r>
    </w:p>
    <w:p w14:paraId="1093C6AF" w14:textId="137E63F9" w:rsidR="00317F0D" w:rsidRDefault="00775C44" w:rsidP="00B01A67">
      <w:pPr>
        <w:pStyle w:val="Loendilik"/>
        <w:spacing w:after="120"/>
        <w:ind w:left="360"/>
        <w:jc w:val="both"/>
        <w:rPr>
          <w:rFonts w:ascii="Times New Roman" w:hAnsi="Times New Roman"/>
          <w:sz w:val="24"/>
          <w:szCs w:val="24"/>
        </w:rPr>
      </w:pPr>
      <w:bookmarkStart w:id="2" w:name="_Hlk175306424"/>
      <w:r>
        <w:rPr>
          <w:rFonts w:ascii="Times New Roman" w:hAnsi="Times New Roman"/>
          <w:sz w:val="24"/>
          <w:szCs w:val="24"/>
        </w:rPr>
        <w:t>The obligation to c</w:t>
      </w:r>
      <w:r w:rsidRPr="00775C44">
        <w:rPr>
          <w:rFonts w:ascii="Times New Roman" w:hAnsi="Times New Roman"/>
          <w:sz w:val="24"/>
          <w:szCs w:val="24"/>
        </w:rPr>
        <w:t xml:space="preserve">ontain, monitor and, where necessary, treat drainage water (including surface water run-off) from gunshot- impact areas </w:t>
      </w:r>
      <w:r w:rsidR="00646D5A">
        <w:rPr>
          <w:rFonts w:ascii="Times New Roman" w:hAnsi="Times New Roman"/>
          <w:sz w:val="24"/>
          <w:szCs w:val="24"/>
        </w:rPr>
        <w:t>i</w:t>
      </w:r>
      <w:r>
        <w:rPr>
          <w:rFonts w:ascii="Times New Roman" w:hAnsi="Times New Roman"/>
          <w:sz w:val="24"/>
          <w:szCs w:val="24"/>
        </w:rPr>
        <w:t>s maintained</w:t>
      </w:r>
      <w:r w:rsidR="00646D5A" w:rsidRPr="00646D5A">
        <w:rPr>
          <w:rFonts w:ascii="Times New Roman" w:hAnsi="Times New Roman"/>
          <w:sz w:val="24"/>
          <w:szCs w:val="24"/>
        </w:rPr>
        <w:t xml:space="preserve"> </w:t>
      </w:r>
      <w:r w:rsidR="00646D5A">
        <w:rPr>
          <w:rFonts w:ascii="Times New Roman" w:hAnsi="Times New Roman"/>
          <w:sz w:val="24"/>
          <w:szCs w:val="24"/>
        </w:rPr>
        <w:t>as proposed</w:t>
      </w:r>
      <w:r>
        <w:rPr>
          <w:rFonts w:ascii="Times New Roman" w:hAnsi="Times New Roman"/>
          <w:sz w:val="24"/>
          <w:szCs w:val="24"/>
        </w:rPr>
        <w:t xml:space="preserve">, as well as the prohibition of </w:t>
      </w:r>
      <w:r w:rsidRPr="00775C44">
        <w:rPr>
          <w:rFonts w:ascii="Times New Roman" w:hAnsi="Times New Roman"/>
          <w:sz w:val="24"/>
          <w:szCs w:val="24"/>
        </w:rPr>
        <w:t xml:space="preserve">any agricultural use within </w:t>
      </w:r>
      <w:r>
        <w:rPr>
          <w:rFonts w:ascii="Times New Roman" w:hAnsi="Times New Roman"/>
          <w:sz w:val="24"/>
          <w:szCs w:val="24"/>
        </w:rPr>
        <w:t xml:space="preserve">the shooting range </w:t>
      </w:r>
      <w:r w:rsidRPr="00775C44">
        <w:rPr>
          <w:rFonts w:ascii="Times New Roman" w:hAnsi="Times New Roman"/>
          <w:sz w:val="24"/>
          <w:szCs w:val="24"/>
        </w:rPr>
        <w:t>boundary</w:t>
      </w:r>
      <w:r>
        <w:rPr>
          <w:rFonts w:ascii="Times New Roman" w:hAnsi="Times New Roman"/>
          <w:sz w:val="24"/>
          <w:szCs w:val="24"/>
        </w:rPr>
        <w:t>.</w:t>
      </w:r>
      <w:bookmarkEnd w:id="2"/>
      <w:r>
        <w:rPr>
          <w:rFonts w:ascii="Times New Roman" w:hAnsi="Times New Roman"/>
          <w:sz w:val="24"/>
          <w:szCs w:val="24"/>
        </w:rPr>
        <w:t xml:space="preserve"> </w:t>
      </w:r>
      <w:r w:rsidR="00A72B04">
        <w:rPr>
          <w:rFonts w:ascii="Times New Roman" w:hAnsi="Times New Roman"/>
          <w:sz w:val="24"/>
          <w:szCs w:val="24"/>
        </w:rPr>
        <w:t>T</w:t>
      </w:r>
      <w:r w:rsidR="00A72B04" w:rsidRPr="00237915">
        <w:rPr>
          <w:rFonts w:ascii="Times New Roman" w:hAnsi="Times New Roman"/>
          <w:sz w:val="24"/>
          <w:szCs w:val="24"/>
        </w:rPr>
        <w:t>h</w:t>
      </w:r>
      <w:r w:rsidR="00FA05DA">
        <w:rPr>
          <w:rFonts w:ascii="Times New Roman" w:hAnsi="Times New Roman"/>
          <w:sz w:val="24"/>
          <w:szCs w:val="24"/>
        </w:rPr>
        <w:t>e</w:t>
      </w:r>
      <w:r w:rsidR="00A72B04" w:rsidRPr="00237915">
        <w:rPr>
          <w:rFonts w:ascii="Times New Roman" w:hAnsi="Times New Roman"/>
          <w:sz w:val="24"/>
          <w:szCs w:val="24"/>
        </w:rPr>
        <w:t xml:space="preserve"> derogation </w:t>
      </w:r>
      <w:r w:rsidR="00A72B04">
        <w:rPr>
          <w:rFonts w:ascii="Times New Roman" w:hAnsi="Times New Roman"/>
          <w:sz w:val="24"/>
          <w:szCs w:val="24"/>
        </w:rPr>
        <w:t xml:space="preserve">is to be reviewed </w:t>
      </w:r>
      <w:r w:rsidR="00A72B04" w:rsidRPr="00237915">
        <w:rPr>
          <w:rFonts w:ascii="Times New Roman" w:hAnsi="Times New Roman"/>
          <w:sz w:val="24"/>
          <w:szCs w:val="24"/>
        </w:rPr>
        <w:t xml:space="preserve">after </w:t>
      </w:r>
      <w:r w:rsidR="00A72B04">
        <w:rPr>
          <w:rFonts w:ascii="Times New Roman" w:hAnsi="Times New Roman"/>
          <w:sz w:val="24"/>
          <w:szCs w:val="24"/>
        </w:rPr>
        <w:t>10</w:t>
      </w:r>
      <w:r w:rsidR="00A72B04" w:rsidRPr="00237915">
        <w:rPr>
          <w:rFonts w:ascii="Times New Roman" w:hAnsi="Times New Roman"/>
          <w:sz w:val="24"/>
          <w:szCs w:val="24"/>
        </w:rPr>
        <w:t xml:space="preserve"> years to evaluate </w:t>
      </w:r>
      <w:r w:rsidR="00A72B04">
        <w:rPr>
          <w:rFonts w:ascii="Times New Roman" w:hAnsi="Times New Roman"/>
          <w:sz w:val="24"/>
          <w:szCs w:val="24"/>
        </w:rPr>
        <w:t>whether it is still needed</w:t>
      </w:r>
      <w:r w:rsidR="00A72B04" w:rsidRPr="00237915">
        <w:rPr>
          <w:rFonts w:ascii="Times New Roman" w:hAnsi="Times New Roman"/>
          <w:sz w:val="24"/>
          <w:szCs w:val="24"/>
        </w:rPr>
        <w:t>.</w:t>
      </w:r>
    </w:p>
    <w:p w14:paraId="64A3D091" w14:textId="0A4F36BE" w:rsidR="00655180" w:rsidRDefault="00FF3CDA" w:rsidP="00237915">
      <w:pPr>
        <w:pStyle w:val="Loendilik"/>
        <w:numPr>
          <w:ilvl w:val="0"/>
          <w:numId w:val="4"/>
        </w:numPr>
        <w:spacing w:after="120"/>
        <w:jc w:val="both"/>
        <w:rPr>
          <w:rFonts w:ascii="Times New Roman" w:hAnsi="Times New Roman"/>
          <w:sz w:val="24"/>
          <w:szCs w:val="24"/>
        </w:rPr>
      </w:pPr>
      <w:r>
        <w:rPr>
          <w:rFonts w:ascii="Times New Roman" w:hAnsi="Times New Roman"/>
          <w:sz w:val="24"/>
          <w:szCs w:val="24"/>
        </w:rPr>
        <w:lastRenderedPageBreak/>
        <w:t>F</w:t>
      </w:r>
      <w:r w:rsidR="00A72B04">
        <w:rPr>
          <w:rFonts w:ascii="Times New Roman" w:hAnsi="Times New Roman"/>
          <w:sz w:val="24"/>
          <w:szCs w:val="24"/>
        </w:rPr>
        <w:t>or o</w:t>
      </w:r>
      <w:r w:rsidR="006A410A" w:rsidRPr="00237915">
        <w:rPr>
          <w:rFonts w:ascii="Times New Roman" w:hAnsi="Times New Roman"/>
          <w:sz w:val="24"/>
          <w:szCs w:val="24"/>
        </w:rPr>
        <w:t xml:space="preserve">utdoor sports shooting ranges </w:t>
      </w:r>
      <w:r w:rsidR="00086753">
        <w:rPr>
          <w:rFonts w:ascii="Times New Roman" w:hAnsi="Times New Roman"/>
          <w:sz w:val="24"/>
          <w:szCs w:val="24"/>
        </w:rPr>
        <w:t xml:space="preserve">where lead gunshot is used </w:t>
      </w:r>
      <w:r w:rsidR="00DC04A4">
        <w:rPr>
          <w:rFonts w:ascii="Times New Roman" w:hAnsi="Times New Roman"/>
          <w:sz w:val="24"/>
          <w:szCs w:val="24"/>
        </w:rPr>
        <w:t xml:space="preserve">by </w:t>
      </w:r>
      <w:r w:rsidR="00A045DB">
        <w:rPr>
          <w:rFonts w:ascii="Times New Roman" w:hAnsi="Times New Roman"/>
          <w:sz w:val="24"/>
          <w:szCs w:val="24"/>
        </w:rPr>
        <w:t>applying the</w:t>
      </w:r>
      <w:r>
        <w:rPr>
          <w:rFonts w:ascii="Times New Roman" w:hAnsi="Times New Roman"/>
          <w:sz w:val="24"/>
          <w:szCs w:val="24"/>
        </w:rPr>
        <w:t xml:space="preserve"> abovementioned</w:t>
      </w:r>
      <w:r w:rsidR="00086753">
        <w:rPr>
          <w:rFonts w:ascii="Times New Roman" w:hAnsi="Times New Roman"/>
          <w:sz w:val="24"/>
          <w:szCs w:val="24"/>
        </w:rPr>
        <w:t xml:space="preserve"> derogation</w:t>
      </w:r>
      <w:r>
        <w:rPr>
          <w:rFonts w:ascii="Times New Roman" w:hAnsi="Times New Roman"/>
          <w:sz w:val="24"/>
          <w:szCs w:val="24"/>
        </w:rPr>
        <w:t>, a requirement is added</w:t>
      </w:r>
      <w:r w:rsidR="00086753">
        <w:rPr>
          <w:rFonts w:ascii="Times New Roman" w:hAnsi="Times New Roman"/>
          <w:sz w:val="24"/>
          <w:szCs w:val="24"/>
        </w:rPr>
        <w:t xml:space="preserve"> </w:t>
      </w:r>
      <w:r w:rsidR="00E22EA2">
        <w:rPr>
          <w:rFonts w:ascii="Times New Roman" w:hAnsi="Times New Roman"/>
          <w:sz w:val="24"/>
          <w:szCs w:val="24"/>
        </w:rPr>
        <w:t xml:space="preserve">for those </w:t>
      </w:r>
      <w:r w:rsidR="00E22EA2" w:rsidRPr="00237915">
        <w:rPr>
          <w:rFonts w:ascii="Times New Roman" w:hAnsi="Times New Roman"/>
          <w:sz w:val="24"/>
          <w:szCs w:val="24"/>
        </w:rPr>
        <w:t xml:space="preserve">shooting ranges </w:t>
      </w:r>
      <w:r w:rsidR="00A72B04">
        <w:rPr>
          <w:rFonts w:ascii="Times New Roman" w:hAnsi="Times New Roman"/>
          <w:sz w:val="24"/>
          <w:szCs w:val="24"/>
        </w:rPr>
        <w:t xml:space="preserve">to </w:t>
      </w:r>
      <w:r w:rsidR="006A410A" w:rsidRPr="00237915">
        <w:rPr>
          <w:rFonts w:ascii="Times New Roman" w:hAnsi="Times New Roman"/>
          <w:sz w:val="24"/>
          <w:szCs w:val="24"/>
        </w:rPr>
        <w:t xml:space="preserve">report information concerning lead </w:t>
      </w:r>
      <w:r w:rsidR="00C355D5">
        <w:rPr>
          <w:rFonts w:ascii="Times New Roman" w:hAnsi="Times New Roman"/>
          <w:sz w:val="24"/>
          <w:szCs w:val="24"/>
        </w:rPr>
        <w:t xml:space="preserve">gunshot </w:t>
      </w:r>
      <w:r w:rsidR="006A410A" w:rsidRPr="00237915">
        <w:rPr>
          <w:rFonts w:ascii="Times New Roman" w:hAnsi="Times New Roman"/>
          <w:sz w:val="24"/>
          <w:szCs w:val="24"/>
        </w:rPr>
        <w:t>spent and recovered on their premises to the Member State</w:t>
      </w:r>
      <w:r w:rsidR="001A6B7F">
        <w:rPr>
          <w:rFonts w:ascii="Times New Roman" w:hAnsi="Times New Roman"/>
          <w:sz w:val="24"/>
          <w:szCs w:val="24"/>
        </w:rPr>
        <w:t xml:space="preserve"> in which they are </w:t>
      </w:r>
      <w:r w:rsidR="00E22EA2">
        <w:rPr>
          <w:rFonts w:ascii="Times New Roman" w:hAnsi="Times New Roman"/>
          <w:sz w:val="24"/>
          <w:szCs w:val="24"/>
        </w:rPr>
        <w:t>established</w:t>
      </w:r>
      <w:r w:rsidR="006A410A" w:rsidRPr="00237915">
        <w:rPr>
          <w:rFonts w:ascii="Times New Roman" w:hAnsi="Times New Roman"/>
          <w:sz w:val="24"/>
          <w:szCs w:val="24"/>
        </w:rPr>
        <w:t xml:space="preserve">, so that the effectiveness of the risk management measures to minimise lead emissions from sports shooting with lead gunshot can be monitored. </w:t>
      </w:r>
    </w:p>
    <w:p w14:paraId="2AC27DA9" w14:textId="56BB5A73" w:rsidR="004D5972" w:rsidRDefault="00EC2525" w:rsidP="00B0413C">
      <w:pPr>
        <w:pStyle w:val="Loendilik"/>
        <w:numPr>
          <w:ilvl w:val="0"/>
          <w:numId w:val="4"/>
        </w:numPr>
        <w:spacing w:after="120"/>
        <w:jc w:val="both"/>
        <w:rPr>
          <w:rFonts w:ascii="Times New Roman" w:hAnsi="Times New Roman"/>
          <w:sz w:val="24"/>
          <w:szCs w:val="24"/>
        </w:rPr>
      </w:pPr>
      <w:r>
        <w:rPr>
          <w:rFonts w:ascii="Times New Roman" w:hAnsi="Times New Roman"/>
          <w:sz w:val="24"/>
          <w:szCs w:val="24"/>
        </w:rPr>
        <w:t>A</w:t>
      </w:r>
      <w:r w:rsidR="004D5972">
        <w:rPr>
          <w:rFonts w:ascii="Times New Roman" w:hAnsi="Times New Roman"/>
          <w:sz w:val="24"/>
          <w:szCs w:val="24"/>
        </w:rPr>
        <w:t xml:space="preserve"> </w:t>
      </w:r>
      <w:r>
        <w:rPr>
          <w:rFonts w:ascii="Times New Roman" w:hAnsi="Times New Roman"/>
          <w:sz w:val="24"/>
          <w:szCs w:val="24"/>
        </w:rPr>
        <w:t xml:space="preserve">permanent </w:t>
      </w:r>
      <w:r w:rsidR="004D5972">
        <w:rPr>
          <w:rFonts w:ascii="Times New Roman" w:hAnsi="Times New Roman"/>
          <w:sz w:val="24"/>
          <w:szCs w:val="24"/>
        </w:rPr>
        <w:t>derogation for us</w:t>
      </w:r>
      <w:r w:rsidR="00086753">
        <w:rPr>
          <w:rFonts w:ascii="Times New Roman" w:hAnsi="Times New Roman"/>
          <w:sz w:val="24"/>
          <w:szCs w:val="24"/>
        </w:rPr>
        <w:t>ing</w:t>
      </w:r>
      <w:r w:rsidR="004D5972">
        <w:rPr>
          <w:rFonts w:ascii="Times New Roman" w:hAnsi="Times New Roman"/>
          <w:sz w:val="24"/>
          <w:szCs w:val="24"/>
        </w:rPr>
        <w:t xml:space="preserve"> lead bullets </w:t>
      </w:r>
      <w:r w:rsidR="00086753">
        <w:rPr>
          <w:rFonts w:ascii="Times New Roman" w:hAnsi="Times New Roman"/>
          <w:sz w:val="24"/>
          <w:szCs w:val="24"/>
        </w:rPr>
        <w:t xml:space="preserve">in sports shooting ranges </w:t>
      </w:r>
      <w:r w:rsidR="004D5972">
        <w:rPr>
          <w:rFonts w:ascii="Times New Roman" w:hAnsi="Times New Roman"/>
          <w:sz w:val="24"/>
          <w:szCs w:val="24"/>
        </w:rPr>
        <w:t xml:space="preserve">is </w:t>
      </w:r>
      <w:r>
        <w:rPr>
          <w:rFonts w:ascii="Times New Roman" w:hAnsi="Times New Roman"/>
          <w:sz w:val="24"/>
          <w:szCs w:val="24"/>
        </w:rPr>
        <w:t>proposed</w:t>
      </w:r>
      <w:r w:rsidRPr="00EC2525">
        <w:t xml:space="preserve"> </w:t>
      </w:r>
      <w:r w:rsidRPr="00EC2525">
        <w:rPr>
          <w:rFonts w:ascii="Times New Roman" w:hAnsi="Times New Roman"/>
          <w:sz w:val="24"/>
          <w:szCs w:val="24"/>
        </w:rPr>
        <w:t>to allow the continued voluntary training of reservists and ensure defence preparedness</w:t>
      </w:r>
      <w:r>
        <w:rPr>
          <w:rFonts w:ascii="Times New Roman" w:hAnsi="Times New Roman"/>
          <w:sz w:val="24"/>
          <w:szCs w:val="24"/>
        </w:rPr>
        <w:t xml:space="preserve">. This derogation </w:t>
      </w:r>
      <w:r w:rsidR="006D17F1">
        <w:rPr>
          <w:rFonts w:ascii="Times New Roman" w:hAnsi="Times New Roman"/>
          <w:sz w:val="24"/>
          <w:szCs w:val="24"/>
        </w:rPr>
        <w:t>is not conditional to</w:t>
      </w:r>
      <w:r>
        <w:rPr>
          <w:rFonts w:ascii="Times New Roman" w:hAnsi="Times New Roman"/>
          <w:sz w:val="24"/>
          <w:szCs w:val="24"/>
        </w:rPr>
        <w:t xml:space="preserve"> the </w:t>
      </w:r>
      <w:r w:rsidR="00086753">
        <w:rPr>
          <w:rFonts w:ascii="Times New Roman" w:hAnsi="Times New Roman"/>
          <w:sz w:val="24"/>
          <w:szCs w:val="24"/>
        </w:rPr>
        <w:t>install</w:t>
      </w:r>
      <w:r>
        <w:rPr>
          <w:rFonts w:ascii="Times New Roman" w:hAnsi="Times New Roman"/>
          <w:sz w:val="24"/>
          <w:szCs w:val="24"/>
        </w:rPr>
        <w:t>ation of</w:t>
      </w:r>
      <w:r w:rsidR="00086753">
        <w:rPr>
          <w:rFonts w:ascii="Times New Roman" w:hAnsi="Times New Roman"/>
          <w:sz w:val="24"/>
          <w:szCs w:val="24"/>
        </w:rPr>
        <w:t xml:space="preserve"> risk management measures</w:t>
      </w:r>
      <w:r w:rsidR="006D17F1">
        <w:rPr>
          <w:rFonts w:ascii="Times New Roman" w:hAnsi="Times New Roman"/>
          <w:sz w:val="24"/>
          <w:szCs w:val="24"/>
        </w:rPr>
        <w:t xml:space="preserve"> in the shooting range,</w:t>
      </w:r>
      <w:r>
        <w:rPr>
          <w:rFonts w:ascii="Times New Roman" w:hAnsi="Times New Roman"/>
          <w:sz w:val="24"/>
          <w:szCs w:val="24"/>
        </w:rPr>
        <w:t xml:space="preserve"> </w:t>
      </w:r>
      <w:r w:rsidR="002B6643">
        <w:rPr>
          <w:rFonts w:ascii="Times New Roman" w:hAnsi="Times New Roman"/>
          <w:sz w:val="24"/>
          <w:szCs w:val="24"/>
        </w:rPr>
        <w:t xml:space="preserve">as the measures proposed by the Agency </w:t>
      </w:r>
      <w:r w:rsidR="002B6643" w:rsidRPr="002B6643">
        <w:rPr>
          <w:rFonts w:ascii="Times New Roman" w:hAnsi="Times New Roman"/>
          <w:sz w:val="24"/>
          <w:szCs w:val="24"/>
        </w:rPr>
        <w:t>were considered too costly, in particular for smaller shooting ranges</w:t>
      </w:r>
      <w:r w:rsidR="002B6643">
        <w:rPr>
          <w:rFonts w:ascii="Times New Roman" w:hAnsi="Times New Roman"/>
          <w:sz w:val="24"/>
          <w:szCs w:val="24"/>
        </w:rPr>
        <w:t>, and would risk decreasing the number of shooting ranges available for defence preparedness</w:t>
      </w:r>
      <w:r w:rsidR="008938CF">
        <w:rPr>
          <w:rFonts w:ascii="Times New Roman" w:hAnsi="Times New Roman"/>
          <w:sz w:val="24"/>
          <w:szCs w:val="24"/>
        </w:rPr>
        <w:t xml:space="preserve"> in some Member States</w:t>
      </w:r>
      <w:r w:rsidR="002B6643">
        <w:rPr>
          <w:rFonts w:ascii="Times New Roman" w:hAnsi="Times New Roman"/>
          <w:sz w:val="24"/>
          <w:szCs w:val="24"/>
        </w:rPr>
        <w:t>. The derogation</w:t>
      </w:r>
      <w:r w:rsidR="002B6643" w:rsidRPr="002B6643">
        <w:rPr>
          <w:rFonts w:ascii="Times New Roman" w:hAnsi="Times New Roman"/>
          <w:sz w:val="24"/>
          <w:szCs w:val="24"/>
        </w:rPr>
        <w:t xml:space="preserve"> </w:t>
      </w:r>
      <w:r>
        <w:rPr>
          <w:rFonts w:ascii="Times New Roman" w:hAnsi="Times New Roman"/>
          <w:sz w:val="24"/>
          <w:szCs w:val="24"/>
        </w:rPr>
        <w:t xml:space="preserve">is </w:t>
      </w:r>
      <w:r w:rsidR="00086753">
        <w:rPr>
          <w:rFonts w:ascii="Times New Roman" w:hAnsi="Times New Roman"/>
          <w:sz w:val="24"/>
          <w:szCs w:val="24"/>
        </w:rPr>
        <w:t xml:space="preserve">to be reviewed </w:t>
      </w:r>
      <w:r w:rsidR="00086753" w:rsidRPr="00237915">
        <w:rPr>
          <w:rFonts w:ascii="Times New Roman" w:hAnsi="Times New Roman"/>
          <w:sz w:val="24"/>
          <w:szCs w:val="24"/>
        </w:rPr>
        <w:t xml:space="preserve">after </w:t>
      </w:r>
      <w:r w:rsidR="00086753">
        <w:rPr>
          <w:rFonts w:ascii="Times New Roman" w:hAnsi="Times New Roman"/>
          <w:sz w:val="24"/>
          <w:szCs w:val="24"/>
        </w:rPr>
        <w:t>10</w:t>
      </w:r>
      <w:r w:rsidR="00086753" w:rsidRPr="00237915">
        <w:rPr>
          <w:rFonts w:ascii="Times New Roman" w:hAnsi="Times New Roman"/>
          <w:sz w:val="24"/>
          <w:szCs w:val="24"/>
        </w:rPr>
        <w:t xml:space="preserve"> years to evaluate </w:t>
      </w:r>
      <w:r w:rsidR="00086753">
        <w:rPr>
          <w:rFonts w:ascii="Times New Roman" w:hAnsi="Times New Roman"/>
          <w:sz w:val="24"/>
          <w:szCs w:val="24"/>
        </w:rPr>
        <w:t>whether it is still needed</w:t>
      </w:r>
      <w:r w:rsidR="004D5972" w:rsidRPr="00B0413C">
        <w:rPr>
          <w:rFonts w:ascii="Times New Roman" w:hAnsi="Times New Roman"/>
          <w:sz w:val="24"/>
          <w:szCs w:val="24"/>
        </w:rPr>
        <w:t xml:space="preserve">. </w:t>
      </w:r>
    </w:p>
    <w:p w14:paraId="3A03DE17" w14:textId="20C2D3A5" w:rsidR="00B0413C" w:rsidRPr="00B0413C" w:rsidRDefault="00A72B04" w:rsidP="00B0413C">
      <w:pPr>
        <w:pStyle w:val="Loendilik"/>
        <w:numPr>
          <w:ilvl w:val="0"/>
          <w:numId w:val="4"/>
        </w:numPr>
        <w:spacing w:after="120"/>
        <w:jc w:val="both"/>
        <w:rPr>
          <w:rFonts w:ascii="Times New Roman" w:hAnsi="Times New Roman"/>
          <w:sz w:val="24"/>
          <w:szCs w:val="24"/>
        </w:rPr>
      </w:pPr>
      <w:r>
        <w:rPr>
          <w:rFonts w:ascii="Times New Roman" w:hAnsi="Times New Roman"/>
          <w:sz w:val="24"/>
          <w:szCs w:val="24"/>
        </w:rPr>
        <w:t>A d</w:t>
      </w:r>
      <w:r w:rsidR="00B0413C" w:rsidRPr="00B0413C">
        <w:rPr>
          <w:rFonts w:ascii="Times New Roman" w:hAnsi="Times New Roman"/>
          <w:sz w:val="24"/>
          <w:szCs w:val="24"/>
        </w:rPr>
        <w:t xml:space="preserve">erogation </w:t>
      </w:r>
      <w:r w:rsidR="00415BC9">
        <w:rPr>
          <w:rFonts w:ascii="Times New Roman" w:hAnsi="Times New Roman"/>
          <w:sz w:val="24"/>
          <w:szCs w:val="24"/>
        </w:rPr>
        <w:t>is added</w:t>
      </w:r>
      <w:r w:rsidR="00415BC9" w:rsidRPr="00B0413C">
        <w:rPr>
          <w:rFonts w:ascii="Times New Roman" w:hAnsi="Times New Roman"/>
          <w:sz w:val="24"/>
          <w:szCs w:val="24"/>
        </w:rPr>
        <w:t xml:space="preserve"> </w:t>
      </w:r>
      <w:r w:rsidR="00B0413C" w:rsidRPr="00B0413C">
        <w:rPr>
          <w:rFonts w:ascii="Times New Roman" w:hAnsi="Times New Roman"/>
          <w:sz w:val="24"/>
          <w:szCs w:val="24"/>
        </w:rPr>
        <w:t>for lead ammunition fired from historic firearms</w:t>
      </w:r>
      <w:r>
        <w:rPr>
          <w:rFonts w:ascii="Times New Roman" w:hAnsi="Times New Roman"/>
          <w:sz w:val="24"/>
          <w:szCs w:val="24"/>
        </w:rPr>
        <w:t xml:space="preserve"> (e.g. muzzleloaders)</w:t>
      </w:r>
      <w:r w:rsidR="00B0413C" w:rsidRPr="00B0413C">
        <w:rPr>
          <w:rFonts w:ascii="Times New Roman" w:hAnsi="Times New Roman"/>
          <w:sz w:val="24"/>
          <w:szCs w:val="24"/>
        </w:rPr>
        <w:t xml:space="preserve">, </w:t>
      </w:r>
      <w:r w:rsidR="00415BC9">
        <w:rPr>
          <w:rFonts w:ascii="Times New Roman" w:hAnsi="Times New Roman"/>
          <w:sz w:val="24"/>
          <w:szCs w:val="24"/>
        </w:rPr>
        <w:t xml:space="preserve">because of lack of suitable alternatives and the </w:t>
      </w:r>
      <w:r w:rsidR="00B0413C" w:rsidRPr="00B0413C">
        <w:rPr>
          <w:rFonts w:ascii="Times New Roman" w:hAnsi="Times New Roman"/>
          <w:sz w:val="24"/>
          <w:szCs w:val="24"/>
        </w:rPr>
        <w:t xml:space="preserve">limited </w:t>
      </w:r>
      <w:r w:rsidR="00415BC9">
        <w:rPr>
          <w:rFonts w:ascii="Times New Roman" w:hAnsi="Times New Roman"/>
          <w:sz w:val="24"/>
          <w:szCs w:val="24"/>
        </w:rPr>
        <w:t>lead releases from this use</w:t>
      </w:r>
      <w:r w:rsidR="00B0413C" w:rsidRPr="00B0413C">
        <w:rPr>
          <w:rFonts w:ascii="Times New Roman" w:hAnsi="Times New Roman"/>
          <w:sz w:val="24"/>
          <w:szCs w:val="24"/>
        </w:rPr>
        <w:t>.</w:t>
      </w:r>
    </w:p>
    <w:p w14:paraId="416BE130" w14:textId="531DE841" w:rsidR="00B0413C" w:rsidRPr="00B0413C" w:rsidRDefault="00FA05DA" w:rsidP="00B0413C">
      <w:pPr>
        <w:pStyle w:val="Loendilik"/>
        <w:numPr>
          <w:ilvl w:val="0"/>
          <w:numId w:val="4"/>
        </w:numPr>
        <w:spacing w:after="120"/>
        <w:jc w:val="both"/>
        <w:rPr>
          <w:rFonts w:ascii="Times New Roman" w:hAnsi="Times New Roman"/>
          <w:sz w:val="24"/>
          <w:szCs w:val="24"/>
        </w:rPr>
      </w:pPr>
      <w:r>
        <w:rPr>
          <w:rFonts w:ascii="Times New Roman" w:hAnsi="Times New Roman"/>
          <w:sz w:val="24"/>
          <w:szCs w:val="24"/>
        </w:rPr>
        <w:t xml:space="preserve">It is not considered feasible to perform, </w:t>
      </w:r>
      <w:r w:rsidRPr="00B0413C">
        <w:rPr>
          <w:rFonts w:ascii="Times New Roman" w:hAnsi="Times New Roman"/>
          <w:sz w:val="24"/>
          <w:szCs w:val="24"/>
        </w:rPr>
        <w:t xml:space="preserve">before the entry into force of this </w:t>
      </w:r>
      <w:r>
        <w:rPr>
          <w:rFonts w:ascii="Times New Roman" w:hAnsi="Times New Roman"/>
          <w:sz w:val="24"/>
          <w:szCs w:val="24"/>
        </w:rPr>
        <w:t>amendment, a</w:t>
      </w:r>
      <w:r w:rsidR="00415BC9">
        <w:rPr>
          <w:rFonts w:ascii="Times New Roman" w:hAnsi="Times New Roman"/>
          <w:sz w:val="24"/>
          <w:szCs w:val="24"/>
        </w:rPr>
        <w:t xml:space="preserve"> review to assess whether</w:t>
      </w:r>
      <w:r>
        <w:rPr>
          <w:rFonts w:ascii="Times New Roman" w:hAnsi="Times New Roman"/>
          <w:sz w:val="24"/>
          <w:szCs w:val="24"/>
        </w:rPr>
        <w:t xml:space="preserve"> </w:t>
      </w:r>
      <w:r w:rsidR="00415BC9">
        <w:rPr>
          <w:rFonts w:ascii="Times New Roman" w:hAnsi="Times New Roman"/>
          <w:sz w:val="24"/>
          <w:szCs w:val="24"/>
        </w:rPr>
        <w:t xml:space="preserve">lead concentration limits </w:t>
      </w:r>
      <w:r>
        <w:rPr>
          <w:rFonts w:ascii="Times New Roman" w:hAnsi="Times New Roman"/>
          <w:sz w:val="24"/>
          <w:szCs w:val="24"/>
        </w:rPr>
        <w:t xml:space="preserve">lower than </w:t>
      </w:r>
      <w:r w:rsidR="004D5972">
        <w:rPr>
          <w:rFonts w:ascii="Times New Roman" w:hAnsi="Times New Roman"/>
          <w:sz w:val="24"/>
          <w:szCs w:val="24"/>
        </w:rPr>
        <w:t>1</w:t>
      </w:r>
      <w:r>
        <w:rPr>
          <w:rFonts w:ascii="Times New Roman" w:hAnsi="Times New Roman"/>
          <w:sz w:val="24"/>
          <w:szCs w:val="24"/>
        </w:rPr>
        <w:t xml:space="preserve">% are achievable </w:t>
      </w:r>
      <w:r w:rsidR="00415BC9">
        <w:rPr>
          <w:rFonts w:ascii="Times New Roman" w:hAnsi="Times New Roman"/>
          <w:sz w:val="24"/>
          <w:szCs w:val="24"/>
        </w:rPr>
        <w:t>in copper and copper alloys</w:t>
      </w:r>
      <w:r w:rsidR="00294C44">
        <w:rPr>
          <w:rFonts w:ascii="Times New Roman" w:hAnsi="Times New Roman"/>
          <w:sz w:val="24"/>
          <w:szCs w:val="24"/>
        </w:rPr>
        <w:t xml:space="preserve"> for use in bullets and lures</w:t>
      </w:r>
      <w:r>
        <w:rPr>
          <w:rFonts w:ascii="Times New Roman" w:hAnsi="Times New Roman"/>
          <w:sz w:val="24"/>
          <w:szCs w:val="24"/>
        </w:rPr>
        <w:t xml:space="preserve">. </w:t>
      </w:r>
      <w:r w:rsidR="00B0413C" w:rsidRPr="00B0413C">
        <w:rPr>
          <w:rFonts w:ascii="Times New Roman" w:hAnsi="Times New Roman"/>
          <w:sz w:val="24"/>
          <w:szCs w:val="24"/>
        </w:rPr>
        <w:t>A review may be considered in the future</w:t>
      </w:r>
      <w:r w:rsidR="007462D6">
        <w:rPr>
          <w:rFonts w:ascii="Times New Roman" w:hAnsi="Times New Roman"/>
          <w:sz w:val="24"/>
          <w:szCs w:val="24"/>
        </w:rPr>
        <w:t>,</w:t>
      </w:r>
      <w:r w:rsidR="00B0413C" w:rsidRPr="00B0413C">
        <w:rPr>
          <w:rFonts w:ascii="Times New Roman" w:hAnsi="Times New Roman"/>
          <w:sz w:val="24"/>
          <w:szCs w:val="24"/>
        </w:rPr>
        <w:t xml:space="preserve"> should evidence emerge that new copper alloys containing 1% lead or less </w:t>
      </w:r>
      <w:r w:rsidR="007462D6">
        <w:rPr>
          <w:rFonts w:ascii="Times New Roman" w:hAnsi="Times New Roman"/>
          <w:sz w:val="24"/>
          <w:szCs w:val="24"/>
        </w:rPr>
        <w:t>that k</w:t>
      </w:r>
      <w:r w:rsidR="00B0413C" w:rsidRPr="00B0413C">
        <w:rPr>
          <w:rFonts w:ascii="Times New Roman" w:hAnsi="Times New Roman"/>
          <w:sz w:val="24"/>
          <w:szCs w:val="24"/>
        </w:rPr>
        <w:t xml:space="preserve">eep the necessary machinability have been developed. </w:t>
      </w:r>
    </w:p>
    <w:p w14:paraId="62AAB731" w14:textId="3D63EEAA" w:rsidR="00B0413C" w:rsidRPr="00B0413C" w:rsidRDefault="00FA05DA" w:rsidP="00B0413C">
      <w:pPr>
        <w:pStyle w:val="Loendilik"/>
        <w:numPr>
          <w:ilvl w:val="0"/>
          <w:numId w:val="4"/>
        </w:numPr>
        <w:spacing w:after="120"/>
        <w:jc w:val="both"/>
        <w:rPr>
          <w:rFonts w:ascii="Times New Roman" w:hAnsi="Times New Roman"/>
          <w:sz w:val="24"/>
          <w:szCs w:val="24"/>
        </w:rPr>
      </w:pPr>
      <w:r>
        <w:rPr>
          <w:rFonts w:ascii="Times New Roman" w:hAnsi="Times New Roman"/>
          <w:sz w:val="24"/>
          <w:szCs w:val="24"/>
        </w:rPr>
        <w:t xml:space="preserve">A derogation is included covering </w:t>
      </w:r>
      <w:r w:rsidR="00B0413C" w:rsidRPr="00B0413C">
        <w:rPr>
          <w:rFonts w:ascii="Times New Roman" w:hAnsi="Times New Roman"/>
          <w:sz w:val="24"/>
          <w:szCs w:val="24"/>
        </w:rPr>
        <w:t>lead bullets discharged during traditional rituals, festive events and other intangible cultural heritage events, such as marksmen festivals</w:t>
      </w:r>
      <w:r>
        <w:rPr>
          <w:rFonts w:ascii="Times New Roman" w:hAnsi="Times New Roman"/>
          <w:sz w:val="24"/>
          <w:szCs w:val="24"/>
        </w:rPr>
        <w:t xml:space="preserve">, </w:t>
      </w:r>
      <w:r w:rsidR="00B0413C" w:rsidRPr="00B0413C">
        <w:rPr>
          <w:rFonts w:ascii="Times New Roman" w:hAnsi="Times New Roman"/>
          <w:sz w:val="24"/>
          <w:szCs w:val="24"/>
        </w:rPr>
        <w:t xml:space="preserve">because of the occasional nature of these events, the limited amounts of ammunitions used during them, the lead recovery measures in place and the need to preserve the intangible cultural heritage they represent. </w:t>
      </w:r>
    </w:p>
    <w:p w14:paraId="38DFDDED" w14:textId="6FA47A63" w:rsidR="004D5972" w:rsidRDefault="004D5972" w:rsidP="004D5972">
      <w:pPr>
        <w:pStyle w:val="Loendilik"/>
        <w:numPr>
          <w:ilvl w:val="0"/>
          <w:numId w:val="4"/>
        </w:numPr>
        <w:spacing w:after="120"/>
        <w:jc w:val="both"/>
        <w:rPr>
          <w:rFonts w:ascii="Times New Roman" w:hAnsi="Times New Roman"/>
          <w:sz w:val="24"/>
          <w:szCs w:val="24"/>
        </w:rPr>
      </w:pPr>
      <w:r w:rsidRPr="00B0413C">
        <w:rPr>
          <w:rFonts w:ascii="Times New Roman" w:hAnsi="Times New Roman"/>
          <w:sz w:val="24"/>
          <w:szCs w:val="24"/>
        </w:rPr>
        <w:t xml:space="preserve">For fishing lures containing copper alloys, </w:t>
      </w:r>
      <w:r>
        <w:rPr>
          <w:rFonts w:ascii="Times New Roman" w:hAnsi="Times New Roman"/>
          <w:sz w:val="24"/>
          <w:szCs w:val="24"/>
        </w:rPr>
        <w:t xml:space="preserve">a derogation is added allowing </w:t>
      </w:r>
      <w:r w:rsidRPr="00B0413C">
        <w:rPr>
          <w:rFonts w:ascii="Times New Roman" w:hAnsi="Times New Roman"/>
          <w:sz w:val="24"/>
          <w:szCs w:val="24"/>
        </w:rPr>
        <w:t xml:space="preserve">a concentration of lead </w:t>
      </w:r>
      <w:r>
        <w:rPr>
          <w:rFonts w:ascii="Times New Roman" w:hAnsi="Times New Roman"/>
          <w:sz w:val="24"/>
          <w:szCs w:val="24"/>
        </w:rPr>
        <w:t>less than</w:t>
      </w:r>
      <w:r w:rsidRPr="00B0413C">
        <w:rPr>
          <w:rFonts w:ascii="Times New Roman" w:hAnsi="Times New Roman"/>
          <w:sz w:val="24"/>
          <w:szCs w:val="24"/>
        </w:rPr>
        <w:t xml:space="preserve"> 3% </w:t>
      </w:r>
      <w:r>
        <w:rPr>
          <w:rFonts w:ascii="Times New Roman" w:hAnsi="Times New Roman"/>
          <w:sz w:val="24"/>
          <w:szCs w:val="24"/>
        </w:rPr>
        <w:t xml:space="preserve">in the copper alloy </w:t>
      </w:r>
      <w:r w:rsidRPr="00B0413C">
        <w:rPr>
          <w:rFonts w:ascii="Times New Roman" w:hAnsi="Times New Roman"/>
          <w:sz w:val="24"/>
          <w:szCs w:val="24"/>
        </w:rPr>
        <w:t xml:space="preserve">to achieve adequate machinability during production </w:t>
      </w:r>
      <w:r>
        <w:rPr>
          <w:rFonts w:ascii="Times New Roman" w:hAnsi="Times New Roman"/>
          <w:sz w:val="24"/>
          <w:szCs w:val="24"/>
        </w:rPr>
        <w:t>and</w:t>
      </w:r>
      <w:r w:rsidRPr="00B0413C">
        <w:rPr>
          <w:rFonts w:ascii="Times New Roman" w:hAnsi="Times New Roman"/>
          <w:sz w:val="24"/>
          <w:szCs w:val="24"/>
        </w:rPr>
        <w:t xml:space="preserve"> ensure the continued production of brass lures, which are the most common alternatives to lead lures. </w:t>
      </w:r>
    </w:p>
    <w:p w14:paraId="4A42BAF3" w14:textId="412AC273" w:rsidR="00B0413C" w:rsidRPr="00B0413C" w:rsidRDefault="00FA05DA" w:rsidP="00B0413C">
      <w:pPr>
        <w:pStyle w:val="Loendilik"/>
        <w:numPr>
          <w:ilvl w:val="0"/>
          <w:numId w:val="4"/>
        </w:numPr>
        <w:spacing w:after="120"/>
        <w:jc w:val="both"/>
        <w:rPr>
          <w:rFonts w:ascii="Times New Roman" w:hAnsi="Times New Roman"/>
          <w:sz w:val="24"/>
          <w:szCs w:val="24"/>
        </w:rPr>
      </w:pPr>
      <w:r>
        <w:rPr>
          <w:rFonts w:ascii="Times New Roman" w:hAnsi="Times New Roman"/>
          <w:sz w:val="24"/>
          <w:szCs w:val="24"/>
        </w:rPr>
        <w:t xml:space="preserve">A derogation is added </w:t>
      </w:r>
      <w:r w:rsidRPr="00B0413C">
        <w:rPr>
          <w:rFonts w:ascii="Times New Roman" w:hAnsi="Times New Roman"/>
          <w:sz w:val="24"/>
          <w:szCs w:val="24"/>
        </w:rPr>
        <w:t>for the use of lead in split shot</w:t>
      </w:r>
      <w:r w:rsidR="003D5730" w:rsidRPr="003D5730">
        <w:t xml:space="preserve"> </w:t>
      </w:r>
      <w:r w:rsidR="003D5730" w:rsidRPr="003D5730">
        <w:rPr>
          <w:rFonts w:ascii="Times New Roman" w:hAnsi="Times New Roman"/>
          <w:sz w:val="24"/>
          <w:szCs w:val="24"/>
        </w:rPr>
        <w:t>weighing 0.06 g or less</w:t>
      </w:r>
      <w:r w:rsidR="003D5730">
        <w:rPr>
          <w:rFonts w:ascii="Times New Roman" w:hAnsi="Times New Roman"/>
          <w:sz w:val="24"/>
          <w:szCs w:val="24"/>
        </w:rPr>
        <w:t xml:space="preserve"> and </w:t>
      </w:r>
      <w:r w:rsidR="003D5730" w:rsidRPr="003D5730">
        <w:rPr>
          <w:rFonts w:ascii="Times New Roman" w:hAnsi="Times New Roman"/>
          <w:sz w:val="24"/>
          <w:szCs w:val="24"/>
        </w:rPr>
        <w:t>placed on the market in spill-proof and child-resistant packaging</w:t>
      </w:r>
      <w:r>
        <w:rPr>
          <w:rFonts w:ascii="Times New Roman" w:hAnsi="Times New Roman"/>
          <w:sz w:val="24"/>
          <w:szCs w:val="24"/>
        </w:rPr>
        <w:t xml:space="preserve">, due to </w:t>
      </w:r>
      <w:r w:rsidR="00B0413C" w:rsidRPr="00B0413C">
        <w:rPr>
          <w:rFonts w:ascii="Times New Roman" w:hAnsi="Times New Roman"/>
          <w:sz w:val="24"/>
          <w:szCs w:val="24"/>
        </w:rPr>
        <w:t>the technical difficulties to find alternatives to lead that are at the same time sufficiently malleable and heavy to be used in split shot.</w:t>
      </w:r>
    </w:p>
    <w:p w14:paraId="1548145E" w14:textId="17BFBD23" w:rsidR="00FA05DA" w:rsidRDefault="00FA05DA" w:rsidP="00B0413C">
      <w:pPr>
        <w:pStyle w:val="Loendilik"/>
        <w:numPr>
          <w:ilvl w:val="0"/>
          <w:numId w:val="4"/>
        </w:numPr>
        <w:spacing w:after="120"/>
        <w:jc w:val="both"/>
        <w:rPr>
          <w:rFonts w:ascii="Times New Roman" w:hAnsi="Times New Roman"/>
          <w:sz w:val="24"/>
          <w:szCs w:val="24"/>
        </w:rPr>
      </w:pPr>
      <w:r>
        <w:rPr>
          <w:rFonts w:ascii="Times New Roman" w:hAnsi="Times New Roman"/>
          <w:sz w:val="24"/>
          <w:szCs w:val="24"/>
        </w:rPr>
        <w:t>T</w:t>
      </w:r>
      <w:r w:rsidR="00B0413C" w:rsidRPr="00B0413C">
        <w:rPr>
          <w:rFonts w:ascii="Times New Roman" w:hAnsi="Times New Roman"/>
          <w:sz w:val="24"/>
          <w:szCs w:val="24"/>
        </w:rPr>
        <w:t xml:space="preserve">he </w:t>
      </w:r>
      <w:r>
        <w:rPr>
          <w:rFonts w:ascii="Times New Roman" w:hAnsi="Times New Roman"/>
          <w:sz w:val="24"/>
          <w:szCs w:val="24"/>
        </w:rPr>
        <w:t xml:space="preserve">warning </w:t>
      </w:r>
      <w:r w:rsidR="00B0413C" w:rsidRPr="00B0413C">
        <w:rPr>
          <w:rFonts w:ascii="Times New Roman" w:hAnsi="Times New Roman"/>
          <w:sz w:val="24"/>
          <w:szCs w:val="24"/>
        </w:rPr>
        <w:t xml:space="preserve">statement to be placed on </w:t>
      </w:r>
      <w:r w:rsidR="003D5730">
        <w:rPr>
          <w:rFonts w:ascii="Times New Roman" w:hAnsi="Times New Roman"/>
          <w:sz w:val="24"/>
          <w:szCs w:val="24"/>
        </w:rPr>
        <w:t>ammunition</w:t>
      </w:r>
      <w:r w:rsidR="00B0413C" w:rsidRPr="00B0413C">
        <w:rPr>
          <w:rFonts w:ascii="Times New Roman" w:hAnsi="Times New Roman"/>
          <w:sz w:val="24"/>
          <w:szCs w:val="24"/>
        </w:rPr>
        <w:t xml:space="preserve"> packaging </w:t>
      </w:r>
      <w:r>
        <w:rPr>
          <w:rFonts w:ascii="Times New Roman" w:hAnsi="Times New Roman"/>
          <w:sz w:val="24"/>
          <w:szCs w:val="24"/>
        </w:rPr>
        <w:t xml:space="preserve">is set to </w:t>
      </w:r>
      <w:r w:rsidR="00B0413C" w:rsidRPr="00B0413C">
        <w:rPr>
          <w:rFonts w:ascii="Times New Roman" w:hAnsi="Times New Roman"/>
          <w:sz w:val="24"/>
          <w:szCs w:val="24"/>
        </w:rPr>
        <w:t>be shorter than the one recommended by the Agency, to allow its placing on small packaging and reduce the need to place it on fold-out labels, leaflet</w:t>
      </w:r>
      <w:r w:rsidR="003D5730">
        <w:rPr>
          <w:rFonts w:ascii="Times New Roman" w:hAnsi="Times New Roman"/>
          <w:sz w:val="24"/>
          <w:szCs w:val="24"/>
        </w:rPr>
        <w:t>s</w:t>
      </w:r>
      <w:r w:rsidR="00335366">
        <w:rPr>
          <w:rFonts w:ascii="Times New Roman" w:hAnsi="Times New Roman"/>
          <w:sz w:val="24"/>
          <w:szCs w:val="24"/>
        </w:rPr>
        <w:t>,</w:t>
      </w:r>
      <w:r w:rsidR="00B0413C" w:rsidRPr="00B0413C">
        <w:rPr>
          <w:rFonts w:ascii="Times New Roman" w:hAnsi="Times New Roman"/>
          <w:sz w:val="24"/>
          <w:szCs w:val="24"/>
        </w:rPr>
        <w:t xml:space="preserve"> or tie-on tag</w:t>
      </w:r>
      <w:r w:rsidR="003D5730">
        <w:rPr>
          <w:rFonts w:ascii="Times New Roman" w:hAnsi="Times New Roman"/>
          <w:sz w:val="24"/>
          <w:szCs w:val="24"/>
        </w:rPr>
        <w:t>s</w:t>
      </w:r>
      <w:r w:rsidR="00B0413C" w:rsidRPr="00B0413C">
        <w:rPr>
          <w:rFonts w:ascii="Times New Roman" w:hAnsi="Times New Roman"/>
          <w:sz w:val="24"/>
          <w:szCs w:val="24"/>
        </w:rPr>
        <w:t xml:space="preserve">. </w:t>
      </w:r>
    </w:p>
    <w:p w14:paraId="4F1AD40E" w14:textId="37C05BDD" w:rsidR="00C91AF5" w:rsidRDefault="00C91AF5" w:rsidP="00B0413C">
      <w:pPr>
        <w:pStyle w:val="Loendilik"/>
        <w:numPr>
          <w:ilvl w:val="0"/>
          <w:numId w:val="4"/>
        </w:numPr>
        <w:spacing w:after="120"/>
        <w:jc w:val="both"/>
        <w:rPr>
          <w:rFonts w:ascii="Times New Roman" w:hAnsi="Times New Roman"/>
          <w:sz w:val="24"/>
          <w:szCs w:val="24"/>
        </w:rPr>
      </w:pPr>
      <w:r>
        <w:rPr>
          <w:rFonts w:ascii="Times New Roman" w:hAnsi="Times New Roman"/>
          <w:sz w:val="24"/>
          <w:szCs w:val="24"/>
        </w:rPr>
        <w:t xml:space="preserve">With a view to monitoring the </w:t>
      </w:r>
      <w:r w:rsidRPr="00B0413C">
        <w:rPr>
          <w:rFonts w:ascii="Times New Roman" w:hAnsi="Times New Roman"/>
          <w:sz w:val="24"/>
          <w:szCs w:val="24"/>
        </w:rPr>
        <w:t>effectiveness of the risk management measures</w:t>
      </w:r>
      <w:r>
        <w:rPr>
          <w:rFonts w:ascii="Times New Roman" w:hAnsi="Times New Roman"/>
          <w:sz w:val="24"/>
          <w:szCs w:val="24"/>
        </w:rPr>
        <w:t xml:space="preserve"> and</w:t>
      </w:r>
      <w:r w:rsidRPr="00B0413C">
        <w:rPr>
          <w:rFonts w:ascii="Times New Roman" w:hAnsi="Times New Roman"/>
          <w:sz w:val="24"/>
          <w:szCs w:val="24"/>
        </w:rPr>
        <w:t xml:space="preserve"> </w:t>
      </w:r>
      <w:r>
        <w:rPr>
          <w:rFonts w:ascii="Times New Roman" w:hAnsi="Times New Roman"/>
          <w:sz w:val="24"/>
          <w:szCs w:val="24"/>
        </w:rPr>
        <w:t xml:space="preserve">facilitating the </w:t>
      </w:r>
      <w:r w:rsidRPr="00B0413C">
        <w:rPr>
          <w:rFonts w:ascii="Times New Roman" w:hAnsi="Times New Roman"/>
          <w:sz w:val="24"/>
          <w:szCs w:val="24"/>
        </w:rPr>
        <w:t>implementation of the restriction</w:t>
      </w:r>
      <w:r>
        <w:rPr>
          <w:rFonts w:ascii="Times New Roman" w:hAnsi="Times New Roman"/>
          <w:sz w:val="24"/>
          <w:szCs w:val="24"/>
        </w:rPr>
        <w:t>, r</w:t>
      </w:r>
      <w:r w:rsidR="00FA05DA">
        <w:rPr>
          <w:rFonts w:ascii="Times New Roman" w:hAnsi="Times New Roman"/>
          <w:sz w:val="24"/>
          <w:szCs w:val="24"/>
        </w:rPr>
        <w:t xml:space="preserve">equirements are added for </w:t>
      </w:r>
      <w:r w:rsidR="00B0413C" w:rsidRPr="00B0413C">
        <w:rPr>
          <w:rFonts w:ascii="Times New Roman" w:hAnsi="Times New Roman"/>
          <w:sz w:val="24"/>
          <w:szCs w:val="24"/>
        </w:rPr>
        <w:t>Member States to</w:t>
      </w:r>
      <w:r w:rsidR="00947312">
        <w:rPr>
          <w:rFonts w:ascii="Times New Roman" w:hAnsi="Times New Roman"/>
          <w:sz w:val="24"/>
          <w:szCs w:val="24"/>
        </w:rPr>
        <w:t>:</w:t>
      </w:r>
      <w:r w:rsidR="00B0413C" w:rsidRPr="00B0413C">
        <w:rPr>
          <w:rFonts w:ascii="Times New Roman" w:hAnsi="Times New Roman"/>
          <w:sz w:val="24"/>
          <w:szCs w:val="24"/>
        </w:rPr>
        <w:t xml:space="preserve"> </w:t>
      </w:r>
    </w:p>
    <w:p w14:paraId="63128ECC" w14:textId="725E7B18" w:rsidR="00C91AF5" w:rsidRDefault="00B0413C" w:rsidP="00C91AF5">
      <w:pPr>
        <w:pStyle w:val="Loendilik"/>
        <w:numPr>
          <w:ilvl w:val="1"/>
          <w:numId w:val="4"/>
        </w:numPr>
        <w:spacing w:after="120"/>
        <w:jc w:val="both"/>
        <w:rPr>
          <w:rFonts w:ascii="Times New Roman" w:hAnsi="Times New Roman"/>
          <w:sz w:val="24"/>
          <w:szCs w:val="24"/>
        </w:rPr>
      </w:pPr>
      <w:r w:rsidRPr="00B0413C">
        <w:rPr>
          <w:rFonts w:ascii="Times New Roman" w:hAnsi="Times New Roman"/>
          <w:sz w:val="24"/>
          <w:szCs w:val="24"/>
        </w:rPr>
        <w:t xml:space="preserve">report information </w:t>
      </w:r>
      <w:r w:rsidR="006D17F1">
        <w:rPr>
          <w:rFonts w:ascii="Times New Roman" w:hAnsi="Times New Roman"/>
          <w:sz w:val="24"/>
          <w:szCs w:val="24"/>
        </w:rPr>
        <w:t xml:space="preserve">on cumulated volumes of lead shot supplied and recovered on their territory during the reporting period </w:t>
      </w:r>
      <w:r w:rsidRPr="00B0413C">
        <w:rPr>
          <w:rFonts w:ascii="Times New Roman" w:hAnsi="Times New Roman"/>
          <w:sz w:val="24"/>
          <w:szCs w:val="24"/>
        </w:rPr>
        <w:t>to the Agency</w:t>
      </w:r>
      <w:r w:rsidR="006D17F1">
        <w:rPr>
          <w:rFonts w:ascii="Times New Roman" w:hAnsi="Times New Roman"/>
          <w:sz w:val="24"/>
          <w:szCs w:val="24"/>
        </w:rPr>
        <w:t>,</w:t>
      </w:r>
      <w:r w:rsidRPr="00B0413C">
        <w:rPr>
          <w:rFonts w:ascii="Times New Roman" w:hAnsi="Times New Roman"/>
          <w:sz w:val="24"/>
          <w:szCs w:val="24"/>
        </w:rPr>
        <w:t xml:space="preserve"> every 5 years</w:t>
      </w:r>
      <w:r w:rsidR="00FA05DA">
        <w:rPr>
          <w:rFonts w:ascii="Times New Roman" w:hAnsi="Times New Roman"/>
          <w:sz w:val="24"/>
          <w:szCs w:val="24"/>
        </w:rPr>
        <w:t xml:space="preserve">; </w:t>
      </w:r>
    </w:p>
    <w:p w14:paraId="1C67E9DA" w14:textId="6990EF72" w:rsidR="00C91AF5" w:rsidRDefault="00B0413C" w:rsidP="00C91AF5">
      <w:pPr>
        <w:pStyle w:val="Loendilik"/>
        <w:numPr>
          <w:ilvl w:val="1"/>
          <w:numId w:val="4"/>
        </w:numPr>
        <w:spacing w:after="120"/>
        <w:jc w:val="both"/>
        <w:rPr>
          <w:rFonts w:ascii="Times New Roman" w:hAnsi="Times New Roman"/>
          <w:sz w:val="24"/>
          <w:szCs w:val="24"/>
        </w:rPr>
      </w:pPr>
      <w:r w:rsidRPr="00B0413C">
        <w:rPr>
          <w:rFonts w:ascii="Times New Roman" w:hAnsi="Times New Roman"/>
          <w:sz w:val="24"/>
          <w:szCs w:val="24"/>
        </w:rPr>
        <w:t>make available</w:t>
      </w:r>
      <w:r w:rsidR="00947312">
        <w:rPr>
          <w:rFonts w:ascii="Times New Roman" w:hAnsi="Times New Roman"/>
          <w:sz w:val="24"/>
          <w:szCs w:val="24"/>
        </w:rPr>
        <w:t>:</w:t>
      </w:r>
      <w:r w:rsidRPr="00B0413C">
        <w:rPr>
          <w:rFonts w:ascii="Times New Roman" w:hAnsi="Times New Roman"/>
          <w:sz w:val="24"/>
          <w:szCs w:val="24"/>
        </w:rPr>
        <w:t xml:space="preserve"> </w:t>
      </w:r>
    </w:p>
    <w:p w14:paraId="5D6E46BE" w14:textId="293F4749" w:rsidR="00C91AF5" w:rsidRDefault="00B0413C" w:rsidP="00C91AF5">
      <w:pPr>
        <w:pStyle w:val="Loendilik"/>
        <w:numPr>
          <w:ilvl w:val="2"/>
          <w:numId w:val="4"/>
        </w:numPr>
        <w:spacing w:after="120"/>
        <w:jc w:val="both"/>
        <w:rPr>
          <w:rFonts w:ascii="Times New Roman" w:hAnsi="Times New Roman"/>
          <w:sz w:val="24"/>
          <w:szCs w:val="24"/>
        </w:rPr>
      </w:pPr>
      <w:r w:rsidRPr="00B0413C">
        <w:rPr>
          <w:rFonts w:ascii="Times New Roman" w:hAnsi="Times New Roman"/>
          <w:sz w:val="24"/>
          <w:szCs w:val="24"/>
        </w:rPr>
        <w:lastRenderedPageBreak/>
        <w:t>the instructions and procedure for authorising outdoor sports shooting ranges for shooting with gunshot</w:t>
      </w:r>
      <w:r w:rsidR="007462D6">
        <w:rPr>
          <w:rFonts w:ascii="Times New Roman" w:hAnsi="Times New Roman"/>
          <w:sz w:val="24"/>
          <w:szCs w:val="24"/>
        </w:rPr>
        <w:t>;</w:t>
      </w:r>
      <w:r w:rsidRPr="00B0413C">
        <w:rPr>
          <w:rFonts w:ascii="Times New Roman" w:hAnsi="Times New Roman"/>
          <w:sz w:val="24"/>
          <w:szCs w:val="24"/>
        </w:rPr>
        <w:t xml:space="preserve"> </w:t>
      </w:r>
      <w:r w:rsidR="006D17F1">
        <w:rPr>
          <w:rFonts w:ascii="Times New Roman" w:hAnsi="Times New Roman"/>
          <w:sz w:val="24"/>
          <w:szCs w:val="24"/>
        </w:rPr>
        <w:t>and</w:t>
      </w:r>
    </w:p>
    <w:p w14:paraId="1EFDDDA7" w14:textId="37D0304F" w:rsidR="00C91AF5" w:rsidRDefault="00B0413C" w:rsidP="00C91AF5">
      <w:pPr>
        <w:pStyle w:val="Loendilik"/>
        <w:numPr>
          <w:ilvl w:val="2"/>
          <w:numId w:val="4"/>
        </w:numPr>
        <w:spacing w:after="120"/>
        <w:jc w:val="both"/>
        <w:rPr>
          <w:rFonts w:ascii="Times New Roman" w:hAnsi="Times New Roman"/>
          <w:sz w:val="24"/>
          <w:szCs w:val="24"/>
        </w:rPr>
      </w:pPr>
      <w:r w:rsidRPr="00B0413C">
        <w:rPr>
          <w:rFonts w:ascii="Times New Roman" w:hAnsi="Times New Roman"/>
          <w:sz w:val="24"/>
          <w:szCs w:val="24"/>
        </w:rPr>
        <w:t>a list of those authorised outdoor sports shooting ranges</w:t>
      </w:r>
      <w:r w:rsidR="007462D6">
        <w:rPr>
          <w:rFonts w:ascii="Times New Roman" w:hAnsi="Times New Roman"/>
          <w:sz w:val="24"/>
          <w:szCs w:val="24"/>
        </w:rPr>
        <w:t>;</w:t>
      </w:r>
      <w:r w:rsidRPr="00B0413C">
        <w:rPr>
          <w:rFonts w:ascii="Times New Roman" w:hAnsi="Times New Roman"/>
          <w:sz w:val="24"/>
          <w:szCs w:val="24"/>
        </w:rPr>
        <w:t xml:space="preserve"> </w:t>
      </w:r>
    </w:p>
    <w:p w14:paraId="0B0C48D9" w14:textId="7ECFF5A3" w:rsidR="00B0413C" w:rsidRDefault="00C91AF5" w:rsidP="00FA05DA">
      <w:pPr>
        <w:pStyle w:val="Loendilik"/>
        <w:numPr>
          <w:ilvl w:val="0"/>
          <w:numId w:val="4"/>
        </w:numPr>
        <w:spacing w:after="120"/>
        <w:contextualSpacing w:val="0"/>
        <w:jc w:val="both"/>
        <w:rPr>
          <w:rFonts w:ascii="Times New Roman" w:hAnsi="Times New Roman"/>
          <w:sz w:val="24"/>
          <w:szCs w:val="24"/>
        </w:rPr>
      </w:pPr>
      <w:r w:rsidRPr="00C91AF5">
        <w:rPr>
          <w:rFonts w:ascii="Times New Roman" w:hAnsi="Times New Roman"/>
          <w:sz w:val="24"/>
          <w:szCs w:val="24"/>
        </w:rPr>
        <w:t xml:space="preserve">A provision </w:t>
      </w:r>
      <w:r w:rsidR="00947312">
        <w:rPr>
          <w:rFonts w:ascii="Times New Roman" w:hAnsi="Times New Roman"/>
          <w:sz w:val="24"/>
          <w:szCs w:val="24"/>
        </w:rPr>
        <w:t>i</w:t>
      </w:r>
      <w:r w:rsidR="00947312" w:rsidRPr="00C91AF5">
        <w:rPr>
          <w:rFonts w:ascii="Times New Roman" w:hAnsi="Times New Roman"/>
          <w:sz w:val="24"/>
          <w:szCs w:val="24"/>
        </w:rPr>
        <w:t xml:space="preserve">s included </w:t>
      </w:r>
      <w:r w:rsidRPr="00C91AF5">
        <w:rPr>
          <w:rFonts w:ascii="Times New Roman" w:hAnsi="Times New Roman"/>
          <w:sz w:val="24"/>
          <w:szCs w:val="24"/>
        </w:rPr>
        <w:t xml:space="preserve">allowing </w:t>
      </w:r>
      <w:r w:rsidR="00B0413C" w:rsidRPr="00C91AF5">
        <w:rPr>
          <w:rFonts w:ascii="Times New Roman" w:hAnsi="Times New Roman"/>
          <w:sz w:val="24"/>
          <w:szCs w:val="24"/>
        </w:rPr>
        <w:t xml:space="preserve">Member States </w:t>
      </w:r>
      <w:r w:rsidRPr="00C91AF5">
        <w:rPr>
          <w:rFonts w:ascii="Times New Roman" w:hAnsi="Times New Roman"/>
          <w:sz w:val="24"/>
          <w:szCs w:val="24"/>
        </w:rPr>
        <w:t>to keep</w:t>
      </w:r>
      <w:r w:rsidR="00B0413C" w:rsidRPr="00C91AF5">
        <w:rPr>
          <w:rFonts w:ascii="Times New Roman" w:hAnsi="Times New Roman"/>
          <w:sz w:val="24"/>
          <w:szCs w:val="24"/>
        </w:rPr>
        <w:t xml:space="preserve"> national provisions prohibiting or restricting the </w:t>
      </w:r>
      <w:r w:rsidR="00947312">
        <w:rPr>
          <w:rFonts w:ascii="Times New Roman" w:hAnsi="Times New Roman"/>
          <w:sz w:val="24"/>
          <w:szCs w:val="24"/>
        </w:rPr>
        <w:t xml:space="preserve">use </w:t>
      </w:r>
      <w:r w:rsidR="00B0413C" w:rsidRPr="00C91AF5">
        <w:rPr>
          <w:rFonts w:ascii="Times New Roman" w:hAnsi="Times New Roman"/>
          <w:sz w:val="24"/>
          <w:szCs w:val="24"/>
        </w:rPr>
        <w:t xml:space="preserve">of lead in gunshot, bullets, lures, sinkers, </w:t>
      </w:r>
      <w:r w:rsidR="007462D6">
        <w:rPr>
          <w:rFonts w:ascii="Times New Roman" w:hAnsi="Times New Roman"/>
          <w:sz w:val="24"/>
          <w:szCs w:val="24"/>
        </w:rPr>
        <w:t xml:space="preserve">or </w:t>
      </w:r>
      <w:r w:rsidR="00B0413C" w:rsidRPr="00C91AF5">
        <w:rPr>
          <w:rFonts w:ascii="Times New Roman" w:hAnsi="Times New Roman"/>
          <w:sz w:val="24"/>
          <w:szCs w:val="24"/>
        </w:rPr>
        <w:t xml:space="preserve">fishing wires for the protection of the environment or human health </w:t>
      </w:r>
      <w:r w:rsidRPr="00C91AF5">
        <w:rPr>
          <w:rFonts w:ascii="Times New Roman" w:hAnsi="Times New Roman"/>
          <w:sz w:val="24"/>
          <w:szCs w:val="24"/>
        </w:rPr>
        <w:t>more strictly</w:t>
      </w:r>
      <w:r w:rsidR="00B0413C" w:rsidRPr="00C91AF5">
        <w:rPr>
          <w:rFonts w:ascii="Times New Roman" w:hAnsi="Times New Roman"/>
          <w:sz w:val="24"/>
          <w:szCs w:val="24"/>
        </w:rPr>
        <w:t xml:space="preserve"> than</w:t>
      </w:r>
      <w:r w:rsidR="00DC04A4">
        <w:rPr>
          <w:rFonts w:ascii="Times New Roman" w:hAnsi="Times New Roman"/>
          <w:sz w:val="24"/>
          <w:szCs w:val="24"/>
        </w:rPr>
        <w:t xml:space="preserve"> by the provisions</w:t>
      </w:r>
      <w:r w:rsidR="00B0413C" w:rsidRPr="00C91AF5">
        <w:rPr>
          <w:rFonts w:ascii="Times New Roman" w:hAnsi="Times New Roman"/>
          <w:sz w:val="24"/>
          <w:szCs w:val="24"/>
        </w:rPr>
        <w:t xml:space="preserve"> laid down in this Regulation</w:t>
      </w:r>
      <w:r w:rsidR="00FA7F44">
        <w:rPr>
          <w:rFonts w:ascii="Times New Roman" w:hAnsi="Times New Roman"/>
          <w:sz w:val="24"/>
          <w:szCs w:val="24"/>
        </w:rPr>
        <w:t>. However, th</w:t>
      </w:r>
      <w:r w:rsidR="00DC04A4">
        <w:rPr>
          <w:rFonts w:ascii="Times New Roman" w:hAnsi="Times New Roman"/>
          <w:sz w:val="24"/>
          <w:szCs w:val="24"/>
        </w:rPr>
        <w:t>at</w:t>
      </w:r>
      <w:r w:rsidR="00FA7F44">
        <w:rPr>
          <w:rFonts w:ascii="Times New Roman" w:hAnsi="Times New Roman"/>
          <w:sz w:val="24"/>
          <w:szCs w:val="24"/>
        </w:rPr>
        <w:t xml:space="preserve"> provision does not extend to </w:t>
      </w:r>
      <w:r w:rsidR="00FA7F44" w:rsidRPr="00C91AF5">
        <w:rPr>
          <w:rFonts w:ascii="Times New Roman" w:hAnsi="Times New Roman"/>
          <w:sz w:val="24"/>
          <w:szCs w:val="24"/>
        </w:rPr>
        <w:t>national provisions</w:t>
      </w:r>
      <w:r w:rsidR="00FA7F44">
        <w:rPr>
          <w:rFonts w:ascii="Times New Roman" w:hAnsi="Times New Roman"/>
          <w:sz w:val="24"/>
          <w:szCs w:val="24"/>
        </w:rPr>
        <w:t xml:space="preserve"> </w:t>
      </w:r>
      <w:r w:rsidR="00FA7F44" w:rsidRPr="00C91AF5">
        <w:rPr>
          <w:rFonts w:ascii="Times New Roman" w:hAnsi="Times New Roman"/>
          <w:sz w:val="24"/>
          <w:szCs w:val="24"/>
        </w:rPr>
        <w:t>prohibiting or restricting the</w:t>
      </w:r>
      <w:r w:rsidR="00FA7F44" w:rsidRPr="00FA7F44">
        <w:rPr>
          <w:rFonts w:ascii="Times New Roman" w:hAnsi="Times New Roman"/>
          <w:sz w:val="24"/>
          <w:szCs w:val="24"/>
        </w:rPr>
        <w:t xml:space="preserve"> </w:t>
      </w:r>
      <w:r w:rsidR="00FA7F44">
        <w:rPr>
          <w:rFonts w:ascii="Times New Roman" w:hAnsi="Times New Roman"/>
          <w:sz w:val="24"/>
          <w:szCs w:val="24"/>
        </w:rPr>
        <w:t>placing on the market of these products</w:t>
      </w:r>
      <w:r w:rsidRPr="00C91AF5">
        <w:rPr>
          <w:rFonts w:ascii="Times New Roman" w:hAnsi="Times New Roman"/>
          <w:sz w:val="24"/>
          <w:szCs w:val="24"/>
        </w:rPr>
        <w:t xml:space="preserve">, as this </w:t>
      </w:r>
      <w:r w:rsidR="00FA7F44">
        <w:rPr>
          <w:rFonts w:ascii="Times New Roman" w:hAnsi="Times New Roman"/>
          <w:sz w:val="24"/>
          <w:szCs w:val="24"/>
        </w:rPr>
        <w:t>c</w:t>
      </w:r>
      <w:r w:rsidRPr="00C91AF5">
        <w:rPr>
          <w:rFonts w:ascii="Times New Roman" w:hAnsi="Times New Roman"/>
          <w:sz w:val="24"/>
          <w:szCs w:val="24"/>
        </w:rPr>
        <w:t>ould lead to a distortion of the Single Market</w:t>
      </w:r>
      <w:r w:rsidR="00FA7F44">
        <w:rPr>
          <w:rFonts w:ascii="Times New Roman" w:hAnsi="Times New Roman"/>
          <w:sz w:val="24"/>
          <w:szCs w:val="24"/>
        </w:rPr>
        <w:t>.</w:t>
      </w:r>
    </w:p>
    <w:sectPr w:rsidR="00B0413C" w:rsidSect="008854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FED71A" w14:textId="77777777" w:rsidR="00231F8A" w:rsidRDefault="00231F8A" w:rsidP="00F5049F">
      <w:pPr>
        <w:spacing w:after="0" w:line="240" w:lineRule="auto"/>
      </w:pPr>
      <w:r>
        <w:separator/>
      </w:r>
    </w:p>
  </w:endnote>
  <w:endnote w:type="continuationSeparator" w:id="0">
    <w:p w14:paraId="0602B813" w14:textId="77777777" w:rsidR="00231F8A" w:rsidRDefault="00231F8A" w:rsidP="00F5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8FF49" w14:textId="77777777" w:rsidR="00DD7B7B" w:rsidRDefault="00DD7B7B">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EB079" w14:textId="77777777" w:rsidR="00DD7B7B" w:rsidRDefault="00DD7B7B">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614A1" w14:textId="77777777" w:rsidR="00DD7B7B" w:rsidRDefault="00DD7B7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FB223" w14:textId="77777777" w:rsidR="00231F8A" w:rsidRDefault="00231F8A" w:rsidP="00F5049F">
      <w:pPr>
        <w:spacing w:after="0" w:line="240" w:lineRule="auto"/>
      </w:pPr>
      <w:r>
        <w:separator/>
      </w:r>
    </w:p>
  </w:footnote>
  <w:footnote w:type="continuationSeparator" w:id="0">
    <w:p w14:paraId="578712AF" w14:textId="77777777" w:rsidR="00231F8A" w:rsidRDefault="00231F8A" w:rsidP="00F50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323FC" w14:textId="77777777" w:rsidR="00DD7B7B" w:rsidRDefault="00DD7B7B">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6FF27" w14:textId="77777777" w:rsidR="00DD7B7B" w:rsidRDefault="00DD7B7B">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CA0412" w14:textId="77777777" w:rsidR="00DD7B7B" w:rsidRDefault="00DD7B7B">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506A74"/>
    <w:multiLevelType w:val="hybridMultilevel"/>
    <w:tmpl w:val="8048E0EA"/>
    <w:lvl w:ilvl="0" w:tplc="080C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1B51B45"/>
    <w:multiLevelType w:val="hybridMultilevel"/>
    <w:tmpl w:val="37C2828C"/>
    <w:lvl w:ilvl="0" w:tplc="080C0001">
      <w:start w:val="1"/>
      <w:numFmt w:val="bullet"/>
      <w:lvlText w:val=""/>
      <w:lvlJc w:val="left"/>
      <w:pPr>
        <w:ind w:left="360" w:hanging="360"/>
      </w:pPr>
      <w:rPr>
        <w:rFonts w:ascii="Symbol" w:hAnsi="Symbol" w:hint="default"/>
      </w:rPr>
    </w:lvl>
    <w:lvl w:ilvl="1" w:tplc="18090019">
      <w:start w:val="1"/>
      <w:numFmt w:val="lowerLetter"/>
      <w:lvlText w:val="%2."/>
      <w:lvlJc w:val="left"/>
      <w:pPr>
        <w:ind w:left="1080" w:hanging="360"/>
      </w:pPr>
    </w:lvl>
    <w:lvl w:ilvl="2" w:tplc="1809001B">
      <w:start w:val="1"/>
      <w:numFmt w:val="lowerRoman"/>
      <w:lvlText w:val="%3."/>
      <w:lvlJc w:val="right"/>
      <w:pPr>
        <w:ind w:left="1980" w:hanging="36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79A320E"/>
    <w:multiLevelType w:val="hybridMultilevel"/>
    <w:tmpl w:val="C956738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CBE4812"/>
    <w:multiLevelType w:val="singleLevel"/>
    <w:tmpl w:val="40CE8C6C"/>
    <w:lvl w:ilvl="0">
      <w:start w:val="1"/>
      <w:numFmt w:val="decimal"/>
      <w:lvlRestart w:val="0"/>
      <w:pStyle w:val="Considrant"/>
      <w:lvlText w:val="(%1)"/>
      <w:lvlJc w:val="left"/>
      <w:pPr>
        <w:tabs>
          <w:tab w:val="num" w:pos="709"/>
        </w:tabs>
        <w:ind w:left="709" w:hanging="709"/>
      </w:pPr>
    </w:lvl>
  </w:abstractNum>
  <w:num w:numId="1" w16cid:durableId="1556354201">
    <w:abstractNumId w:val="3"/>
  </w:num>
  <w:num w:numId="2" w16cid:durableId="431512934">
    <w:abstractNumId w:val="0"/>
  </w:num>
  <w:num w:numId="3" w16cid:durableId="1693652999">
    <w:abstractNumId w:val="2"/>
  </w:num>
  <w:num w:numId="4" w16cid:durableId="13634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5049F"/>
    <w:rsid w:val="00072D86"/>
    <w:rsid w:val="00077886"/>
    <w:rsid w:val="00086753"/>
    <w:rsid w:val="00095617"/>
    <w:rsid w:val="000A69E1"/>
    <w:rsid w:val="001979CA"/>
    <w:rsid w:val="001A6B7F"/>
    <w:rsid w:val="001F6400"/>
    <w:rsid w:val="00231F8A"/>
    <w:rsid w:val="00237915"/>
    <w:rsid w:val="00294C44"/>
    <w:rsid w:val="002B6643"/>
    <w:rsid w:val="00317F0D"/>
    <w:rsid w:val="00335366"/>
    <w:rsid w:val="00337531"/>
    <w:rsid w:val="003C3B11"/>
    <w:rsid w:val="003D5730"/>
    <w:rsid w:val="00415BC9"/>
    <w:rsid w:val="004653E5"/>
    <w:rsid w:val="004A514A"/>
    <w:rsid w:val="004C13C5"/>
    <w:rsid w:val="004C364A"/>
    <w:rsid w:val="004C7341"/>
    <w:rsid w:val="004D5972"/>
    <w:rsid w:val="004E4D2A"/>
    <w:rsid w:val="00571039"/>
    <w:rsid w:val="005D3AD1"/>
    <w:rsid w:val="00627A01"/>
    <w:rsid w:val="00646D5A"/>
    <w:rsid w:val="00655180"/>
    <w:rsid w:val="006A410A"/>
    <w:rsid w:val="006D17F1"/>
    <w:rsid w:val="006E6C1C"/>
    <w:rsid w:val="00700109"/>
    <w:rsid w:val="007462D6"/>
    <w:rsid w:val="00775C44"/>
    <w:rsid w:val="007A79DE"/>
    <w:rsid w:val="007A7CAB"/>
    <w:rsid w:val="007B07C3"/>
    <w:rsid w:val="007D3B15"/>
    <w:rsid w:val="0080697E"/>
    <w:rsid w:val="00854613"/>
    <w:rsid w:val="00855240"/>
    <w:rsid w:val="00864755"/>
    <w:rsid w:val="008938CF"/>
    <w:rsid w:val="008C427F"/>
    <w:rsid w:val="008C471D"/>
    <w:rsid w:val="008E4021"/>
    <w:rsid w:val="00902E92"/>
    <w:rsid w:val="00947312"/>
    <w:rsid w:val="009D693B"/>
    <w:rsid w:val="00A045DB"/>
    <w:rsid w:val="00A45B4E"/>
    <w:rsid w:val="00A72B04"/>
    <w:rsid w:val="00B01A67"/>
    <w:rsid w:val="00B0413C"/>
    <w:rsid w:val="00B24B0E"/>
    <w:rsid w:val="00BE06D3"/>
    <w:rsid w:val="00BF35F2"/>
    <w:rsid w:val="00C341C2"/>
    <w:rsid w:val="00C355D5"/>
    <w:rsid w:val="00C75853"/>
    <w:rsid w:val="00C901FB"/>
    <w:rsid w:val="00C91AF5"/>
    <w:rsid w:val="00D16453"/>
    <w:rsid w:val="00D673E2"/>
    <w:rsid w:val="00DC04A4"/>
    <w:rsid w:val="00DD7B7B"/>
    <w:rsid w:val="00E05F6F"/>
    <w:rsid w:val="00E22EA2"/>
    <w:rsid w:val="00E4597C"/>
    <w:rsid w:val="00EC2525"/>
    <w:rsid w:val="00F5049F"/>
    <w:rsid w:val="00F6445F"/>
    <w:rsid w:val="00F86844"/>
    <w:rsid w:val="00FA05DA"/>
    <w:rsid w:val="00FA7F44"/>
    <w:rsid w:val="00FF3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C6336"/>
  <w15:chartTrackingRefBased/>
  <w15:docId w15:val="{0B24A237-D148-4299-A6F4-9A91CFC0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F5049F"/>
    <w:rPr>
      <w:rFonts w:ascii="Calibri" w:eastAsia="Calibri" w:hAnsi="Calibri" w:cs="Times New Roman"/>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Considrant">
    <w:name w:val="Considérant"/>
    <w:basedOn w:val="Normaallaad"/>
    <w:autoRedefine/>
    <w:rsid w:val="00F5049F"/>
    <w:pPr>
      <w:numPr>
        <w:numId w:val="1"/>
      </w:numPr>
      <w:spacing w:before="120" w:after="120" w:line="240" w:lineRule="auto"/>
      <w:jc w:val="both"/>
    </w:pPr>
    <w:rPr>
      <w:rFonts w:ascii="Times New Roman" w:eastAsia="Times New Roman" w:hAnsi="Times New Roman"/>
      <w:sz w:val="24"/>
      <w:szCs w:val="24"/>
    </w:rPr>
  </w:style>
  <w:style w:type="paragraph" w:styleId="Pis">
    <w:name w:val="header"/>
    <w:basedOn w:val="Normaallaad"/>
    <w:link w:val="PisMrk"/>
    <w:uiPriority w:val="99"/>
    <w:unhideWhenUsed/>
    <w:rsid w:val="00F5049F"/>
    <w:pPr>
      <w:tabs>
        <w:tab w:val="center" w:pos="4535"/>
        <w:tab w:val="right" w:pos="9071"/>
      </w:tabs>
      <w:spacing w:after="120" w:line="240" w:lineRule="auto"/>
      <w:jc w:val="both"/>
    </w:pPr>
    <w:rPr>
      <w:rFonts w:ascii="Times New Roman" w:eastAsiaTheme="minorHAnsi" w:hAnsi="Times New Roman"/>
      <w:sz w:val="24"/>
    </w:rPr>
  </w:style>
  <w:style w:type="character" w:customStyle="1" w:styleId="PisMrk">
    <w:name w:val="Päis Märk"/>
    <w:basedOn w:val="Liguvaikefont"/>
    <w:link w:val="Pis"/>
    <w:uiPriority w:val="99"/>
    <w:rsid w:val="00F5049F"/>
    <w:rPr>
      <w:rFonts w:ascii="Times New Roman" w:hAnsi="Times New Roman" w:cs="Times New Roman"/>
      <w:sz w:val="24"/>
    </w:rPr>
  </w:style>
  <w:style w:type="paragraph" w:styleId="Jalus">
    <w:name w:val="footer"/>
    <w:basedOn w:val="Normaallaad"/>
    <w:link w:val="JalusMrk"/>
    <w:uiPriority w:val="99"/>
    <w:unhideWhenUsed/>
    <w:rsid w:val="00F5049F"/>
    <w:pPr>
      <w:tabs>
        <w:tab w:val="center" w:pos="4535"/>
        <w:tab w:val="right" w:pos="9071"/>
        <w:tab w:val="right" w:pos="9921"/>
      </w:tabs>
      <w:spacing w:before="360" w:after="0" w:line="240" w:lineRule="auto"/>
      <w:ind w:left="-850" w:right="-850"/>
    </w:pPr>
    <w:rPr>
      <w:rFonts w:ascii="Times New Roman" w:eastAsiaTheme="minorHAnsi" w:hAnsi="Times New Roman"/>
      <w:sz w:val="24"/>
    </w:rPr>
  </w:style>
  <w:style w:type="character" w:customStyle="1" w:styleId="JalusMrk">
    <w:name w:val="Jalus Märk"/>
    <w:basedOn w:val="Liguvaikefont"/>
    <w:link w:val="Jalus"/>
    <w:uiPriority w:val="99"/>
    <w:rsid w:val="00F5049F"/>
    <w:rPr>
      <w:rFonts w:ascii="Times New Roman" w:hAnsi="Times New Roman" w:cs="Times New Roman"/>
      <w:sz w:val="24"/>
    </w:rPr>
  </w:style>
  <w:style w:type="paragraph" w:styleId="Loendilik">
    <w:name w:val="List Paragraph"/>
    <w:basedOn w:val="Normaallaad"/>
    <w:uiPriority w:val="34"/>
    <w:qFormat/>
    <w:rsid w:val="00F5049F"/>
    <w:pPr>
      <w:ind w:left="720"/>
      <w:contextualSpacing/>
    </w:pPr>
  </w:style>
  <w:style w:type="character" w:styleId="Hperlink">
    <w:name w:val="Hyperlink"/>
    <w:uiPriority w:val="99"/>
    <w:rsid w:val="00F5049F"/>
    <w:rPr>
      <w:color w:val="0000FF"/>
      <w:u w:val="single"/>
    </w:rPr>
  </w:style>
  <w:style w:type="paragraph" w:styleId="Allmrkusetekst">
    <w:name w:val="footnote text"/>
    <w:basedOn w:val="Normaallaad"/>
    <w:link w:val="AllmrkusetekstMrk"/>
    <w:uiPriority w:val="99"/>
    <w:semiHidden/>
    <w:unhideWhenUsed/>
    <w:rsid w:val="00F5049F"/>
    <w:pPr>
      <w:spacing w:after="0" w:line="240" w:lineRule="auto"/>
      <w:ind w:left="720" w:hanging="720"/>
      <w:jc w:val="both"/>
    </w:pPr>
    <w:rPr>
      <w:rFonts w:ascii="Times New Roman" w:eastAsiaTheme="minorHAnsi" w:hAnsi="Times New Roman"/>
      <w:sz w:val="20"/>
      <w:szCs w:val="20"/>
    </w:rPr>
  </w:style>
  <w:style w:type="character" w:customStyle="1" w:styleId="AllmrkusetekstMrk">
    <w:name w:val="Allmärkuse tekst Märk"/>
    <w:basedOn w:val="Liguvaikefont"/>
    <w:link w:val="Allmrkusetekst"/>
    <w:uiPriority w:val="99"/>
    <w:semiHidden/>
    <w:rsid w:val="00F5049F"/>
    <w:rPr>
      <w:rFonts w:ascii="Times New Roman" w:hAnsi="Times New Roman" w:cs="Times New Roman"/>
      <w:sz w:val="20"/>
      <w:szCs w:val="20"/>
    </w:rPr>
  </w:style>
  <w:style w:type="character" w:styleId="Allmrkuseviide">
    <w:name w:val="footnote reference"/>
    <w:basedOn w:val="Liguvaikefont"/>
    <w:uiPriority w:val="99"/>
    <w:semiHidden/>
    <w:unhideWhenUsed/>
    <w:rsid w:val="00F5049F"/>
    <w:rPr>
      <w:shd w:val="clear" w:color="auto" w:fill="auto"/>
      <w:vertAlign w:val="superscript"/>
    </w:rPr>
  </w:style>
  <w:style w:type="paragraph" w:styleId="Jutumullitekst">
    <w:name w:val="Balloon Text"/>
    <w:basedOn w:val="Normaallaad"/>
    <w:link w:val="JutumullitekstMrk"/>
    <w:uiPriority w:val="99"/>
    <w:semiHidden/>
    <w:unhideWhenUsed/>
    <w:rsid w:val="00C901FB"/>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C901FB"/>
    <w:rPr>
      <w:rFonts w:ascii="Segoe UI" w:eastAsia="Calibri" w:hAnsi="Segoe UI" w:cs="Segoe UI"/>
      <w:sz w:val="18"/>
      <w:szCs w:val="18"/>
    </w:rPr>
  </w:style>
  <w:style w:type="paragraph" w:styleId="Redaktsioon">
    <w:name w:val="Revision"/>
    <w:hidden/>
    <w:uiPriority w:val="99"/>
    <w:semiHidden/>
    <w:rsid w:val="00855240"/>
    <w:pPr>
      <w:spacing w:after="0" w:line="240" w:lineRule="auto"/>
    </w:pPr>
    <w:rPr>
      <w:rFonts w:ascii="Calibri" w:eastAsia="Calibri" w:hAnsi="Calibri" w:cs="Times New Roman"/>
    </w:rPr>
  </w:style>
  <w:style w:type="character" w:styleId="Kommentaariviide">
    <w:name w:val="annotation reference"/>
    <w:basedOn w:val="Liguvaikefont"/>
    <w:uiPriority w:val="99"/>
    <w:semiHidden/>
    <w:unhideWhenUsed/>
    <w:rsid w:val="00337531"/>
    <w:rPr>
      <w:sz w:val="16"/>
      <w:szCs w:val="16"/>
    </w:rPr>
  </w:style>
  <w:style w:type="paragraph" w:styleId="Kommentaaritekst">
    <w:name w:val="annotation text"/>
    <w:basedOn w:val="Normaallaad"/>
    <w:link w:val="KommentaaritekstMrk"/>
    <w:uiPriority w:val="99"/>
    <w:unhideWhenUsed/>
    <w:rsid w:val="00337531"/>
    <w:pPr>
      <w:spacing w:before="120" w:after="120" w:line="240" w:lineRule="auto"/>
      <w:jc w:val="both"/>
    </w:pPr>
    <w:rPr>
      <w:rFonts w:ascii="Times New Roman" w:eastAsiaTheme="minorHAnsi" w:hAnsi="Times New Roman"/>
      <w:sz w:val="20"/>
      <w:szCs w:val="20"/>
    </w:rPr>
  </w:style>
  <w:style w:type="character" w:customStyle="1" w:styleId="KommentaaritekstMrk">
    <w:name w:val="Kommentaari tekst Märk"/>
    <w:basedOn w:val="Liguvaikefont"/>
    <w:link w:val="Kommentaaritekst"/>
    <w:uiPriority w:val="99"/>
    <w:rsid w:val="00337531"/>
    <w:rPr>
      <w:rFonts w:ascii="Times New Roman"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335366"/>
    <w:pPr>
      <w:spacing w:before="0" w:after="200"/>
      <w:jc w:val="left"/>
    </w:pPr>
    <w:rPr>
      <w:rFonts w:ascii="Calibri" w:eastAsia="Calibri" w:hAnsi="Calibri"/>
      <w:b/>
      <w:bCs/>
    </w:rPr>
  </w:style>
  <w:style w:type="character" w:customStyle="1" w:styleId="KommentaariteemaMrk">
    <w:name w:val="Kommentaari teema Märk"/>
    <w:basedOn w:val="KommentaaritekstMrk"/>
    <w:link w:val="Kommentaariteema"/>
    <w:uiPriority w:val="99"/>
    <w:semiHidden/>
    <w:rsid w:val="00335366"/>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997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41E0E-AE08-4623-9858-797AEBC3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1387</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TOSETTI Patrizia (GROW)</dc:creator>
  <cp:keywords/>
  <dc:description/>
  <cp:lastModifiedBy>Zanna Arhipova</cp:lastModifiedBy>
  <cp:revision>2</cp:revision>
  <dcterms:created xsi:type="dcterms:W3CDTF">2025-04-03T06:30:00Z</dcterms:created>
  <dcterms:modified xsi:type="dcterms:W3CDTF">2025-04-03T06:30:00Z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2024-08-20T15:10:57Z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97c6a67d-ecf1-4100-b8b0-3a3010bdd42b</vt:lpwstr>
  </property>
  <property fmtid="{D5CDD505-2E9C-101B-9397-08002B2CF9AE}" pid="8" name="MSIP_Label_6bd9ddd1-4d20-43f6-abfa-fc3c07406f94_ContentBits">
    <vt:lpwstr>0</vt:lpwstr>
  </property>
</Properties>
</file>